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17A5F" w14:textId="7E36A0C7" w:rsidR="2667FE74" w:rsidRDefault="00AE42A5">
      <w:bookmarkStart w:id="0" w:name="_GoBack"/>
      <w:bookmarkEnd w:id="0"/>
      <w:r>
        <w:rPr>
          <w:noProof/>
          <w:lang w:eastAsia="en-GB"/>
        </w:rPr>
        <w:drawing>
          <wp:anchor distT="0" distB="0" distL="114300" distR="114300" simplePos="0" relativeHeight="251658241" behindDoc="0" locked="0" layoutInCell="1" allowOverlap="1" wp14:anchorId="5B616EBB" wp14:editId="6BE829E6">
            <wp:simplePos x="0" y="0"/>
            <wp:positionH relativeFrom="column">
              <wp:posOffset>-900430</wp:posOffset>
            </wp:positionH>
            <wp:positionV relativeFrom="paragraph">
              <wp:posOffset>-815975</wp:posOffset>
            </wp:positionV>
            <wp:extent cx="7562850" cy="10646410"/>
            <wp:effectExtent l="0" t="0" r="0" b="2540"/>
            <wp:wrapSquare wrapText="bothSides"/>
            <wp:docPr id="1100035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35248" name=""/>
                    <pic:cNvPicPr/>
                  </pic:nvPicPr>
                  <pic:blipFill>
                    <a:blip r:embed="rId11">
                      <a:extLst>
                        <a:ext uri="{28A0092B-C50C-407E-A947-70E740481C1C}">
                          <a14:useLocalDpi xmlns:a14="http://schemas.microsoft.com/office/drawing/2010/main"/>
                        </a:ext>
                      </a:extLst>
                    </a:blip>
                    <a:stretch>
                      <a:fillRect/>
                    </a:stretch>
                  </pic:blipFill>
                  <pic:spPr>
                    <a:xfrm>
                      <a:off x="0" y="0"/>
                      <a:ext cx="7562850" cy="10646410"/>
                    </a:xfrm>
                    <a:prstGeom prst="rect">
                      <a:avLst/>
                    </a:prstGeom>
                  </pic:spPr>
                </pic:pic>
              </a:graphicData>
            </a:graphic>
            <wp14:sizeRelH relativeFrom="page">
              <wp14:pctWidth>0</wp14:pctWidth>
            </wp14:sizeRelH>
            <wp14:sizeRelV relativeFrom="page">
              <wp14:pctHeight>0</wp14:pctHeight>
            </wp14:sizeRelV>
          </wp:anchor>
        </w:drawing>
      </w:r>
      <w:r w:rsidR="47748946">
        <w:rPr>
          <w:noProof/>
        </w:rPr>
        <w:t xml:space="preserve">                                                  </w:t>
      </w:r>
    </w:p>
    <w:p w14:paraId="3E7A9F1C" w14:textId="06013908" w:rsidR="00621B0F" w:rsidRDefault="00CB2836" w:rsidP="07C1C7E4">
      <w:pPr>
        <w:rPr>
          <w:rFonts w:ascii="Calibri" w:hAnsi="Calibri" w:cs="Arial"/>
          <w:b/>
          <w:bCs/>
          <w:color w:val="007373"/>
        </w:rPr>
      </w:pPr>
      <w:r w:rsidRPr="07C1C7E4">
        <w:rPr>
          <w:rFonts w:ascii="Calibri" w:hAnsi="Calibri" w:cs="Arial"/>
          <w:b/>
          <w:bCs/>
          <w:color w:val="007373"/>
        </w:rPr>
        <w:lastRenderedPageBreak/>
        <w:t>I</w:t>
      </w:r>
      <w:r w:rsidR="00621B0F" w:rsidRPr="07C1C7E4">
        <w:rPr>
          <w:rFonts w:ascii="Calibri" w:hAnsi="Calibri" w:cs="Arial"/>
          <w:b/>
          <w:bCs/>
          <w:color w:val="007373"/>
        </w:rPr>
        <w:t>ntroduction</w:t>
      </w:r>
    </w:p>
    <w:p w14:paraId="5FF587C6" w14:textId="6FE55881" w:rsidR="00D22079" w:rsidRPr="00676527" w:rsidRDefault="00621B0F" w:rsidP="00A74976">
      <w:pPr>
        <w:numPr>
          <w:ilvl w:val="0"/>
          <w:numId w:val="8"/>
        </w:numPr>
        <w:rPr>
          <w:rFonts w:ascii="Calibri" w:hAnsi="Calibri" w:cs="Arial"/>
        </w:rPr>
      </w:pPr>
      <w:r w:rsidRPr="00A26EB9">
        <w:rPr>
          <w:rFonts w:ascii="Calibri" w:hAnsi="Calibri" w:cs="Arial"/>
        </w:rPr>
        <w:t>In 2010</w:t>
      </w:r>
      <w:r w:rsidR="002E25C1">
        <w:rPr>
          <w:rFonts w:ascii="Calibri" w:hAnsi="Calibri" w:cs="Arial"/>
        </w:rPr>
        <w:t>,</w:t>
      </w:r>
      <w:r w:rsidRPr="00A26EB9">
        <w:rPr>
          <w:rFonts w:ascii="Calibri" w:hAnsi="Calibri" w:cs="Arial"/>
        </w:rPr>
        <w:t xml:space="preserve"> the Government </w:t>
      </w:r>
      <w:r w:rsidRPr="00676527">
        <w:rPr>
          <w:rFonts w:ascii="Calibri" w:hAnsi="Calibri" w:cs="Arial"/>
        </w:rPr>
        <w:t xml:space="preserve">introduced the Community Infrastructure Levy (CIL) as the preferred mechanism for securing developer contributions towards infrastructure to support growth in an area. </w:t>
      </w:r>
    </w:p>
    <w:p w14:paraId="738610EB" w14:textId="77777777" w:rsidR="00F752C1" w:rsidRPr="00676527" w:rsidRDefault="00F752C1" w:rsidP="00F752C1">
      <w:pPr>
        <w:ind w:left="360"/>
        <w:rPr>
          <w:rFonts w:ascii="Calibri" w:hAnsi="Calibri" w:cs="Arial"/>
        </w:rPr>
      </w:pPr>
    </w:p>
    <w:p w14:paraId="2FD698F0" w14:textId="3FB4B715" w:rsidR="000330B1" w:rsidRPr="00676527" w:rsidRDefault="2998377C" w:rsidP="3CEDE98E">
      <w:pPr>
        <w:numPr>
          <w:ilvl w:val="0"/>
          <w:numId w:val="8"/>
        </w:numPr>
        <w:rPr>
          <w:rFonts w:ascii="Calibri" w:hAnsi="Calibri" w:cs="Arial"/>
        </w:rPr>
      </w:pPr>
      <w:r w:rsidRPr="3CEDE98E">
        <w:rPr>
          <w:rFonts w:ascii="Calibri" w:hAnsi="Calibri"/>
        </w:rPr>
        <w:t>The City Council was a front</w:t>
      </w:r>
      <w:r w:rsidR="044A09D3" w:rsidRPr="3CEDE98E">
        <w:rPr>
          <w:rFonts w:ascii="Calibri" w:hAnsi="Calibri"/>
        </w:rPr>
        <w:t>-</w:t>
      </w:r>
      <w:r w:rsidRPr="3CEDE98E">
        <w:rPr>
          <w:rFonts w:ascii="Calibri" w:hAnsi="Calibri"/>
        </w:rPr>
        <w:t>runner in adopting its current CIL Charging Schedule in October 2013</w:t>
      </w:r>
      <w:r w:rsidR="3B03D53B" w:rsidRPr="3CEDE98E">
        <w:rPr>
          <w:rFonts w:ascii="Calibri" w:hAnsi="Calibri"/>
        </w:rPr>
        <w:t>,</w:t>
      </w:r>
      <w:r w:rsidR="5220AED9" w:rsidRPr="3CEDE98E">
        <w:rPr>
          <w:rFonts w:ascii="Calibri" w:hAnsi="Calibri"/>
        </w:rPr>
        <w:t xml:space="preserve"> but i</w:t>
      </w:r>
      <w:r w:rsidRPr="3CEDE98E">
        <w:rPr>
          <w:rFonts w:ascii="Calibri" w:hAnsi="Calibri"/>
        </w:rPr>
        <w:t>t is important that the CIL charges are reviewed to ensure that the Council is maximising funding towards infrastructure.</w:t>
      </w:r>
    </w:p>
    <w:p w14:paraId="637805D2" w14:textId="77777777" w:rsidR="000330B1" w:rsidRPr="00676527" w:rsidRDefault="000330B1" w:rsidP="3CEDE98E">
      <w:pPr>
        <w:pStyle w:val="ListParagraph"/>
        <w:rPr>
          <w:rFonts w:ascii="Calibri" w:hAnsi="Calibri"/>
        </w:rPr>
      </w:pPr>
    </w:p>
    <w:p w14:paraId="3D5CF67A" w14:textId="377193DB" w:rsidR="000330B1" w:rsidRPr="009511EE" w:rsidRDefault="2998377C" w:rsidP="3CEDE98E">
      <w:pPr>
        <w:numPr>
          <w:ilvl w:val="0"/>
          <w:numId w:val="8"/>
        </w:numPr>
        <w:rPr>
          <w:rFonts w:ascii="Calibri" w:hAnsi="Calibri" w:cs="Arial"/>
        </w:rPr>
      </w:pPr>
      <w:r w:rsidRPr="3CEDE98E">
        <w:rPr>
          <w:rFonts w:ascii="Calibri" w:hAnsi="Calibri"/>
        </w:rPr>
        <w:t xml:space="preserve">The City Council is </w:t>
      </w:r>
      <w:r w:rsidR="5220AED9" w:rsidRPr="3CEDE98E">
        <w:rPr>
          <w:rFonts w:ascii="Calibri" w:hAnsi="Calibri"/>
        </w:rPr>
        <w:t xml:space="preserve">also </w:t>
      </w:r>
      <w:r w:rsidRPr="3CEDE98E">
        <w:rPr>
          <w:rFonts w:ascii="Calibri" w:hAnsi="Calibri"/>
        </w:rPr>
        <w:t>in the process of producing the Local Plan 20</w:t>
      </w:r>
      <w:r w:rsidR="51AA71AA" w:rsidRPr="3CEDE98E">
        <w:rPr>
          <w:rFonts w:ascii="Calibri" w:hAnsi="Calibri"/>
        </w:rPr>
        <w:t>40</w:t>
      </w:r>
      <w:r w:rsidRPr="3CEDE98E">
        <w:rPr>
          <w:rFonts w:ascii="Calibri" w:hAnsi="Calibri"/>
        </w:rPr>
        <w:t>.</w:t>
      </w:r>
      <w:r w:rsidR="5220AED9" w:rsidRPr="3CEDE98E">
        <w:rPr>
          <w:rFonts w:ascii="Calibri" w:hAnsi="Calibri"/>
        </w:rPr>
        <w:t xml:space="preserve"> </w:t>
      </w:r>
      <w:r w:rsidRPr="3CEDE98E">
        <w:rPr>
          <w:rFonts w:ascii="Calibri" w:hAnsi="Calibri"/>
        </w:rPr>
        <w:t xml:space="preserve">It is therefore prudent to review the Charging Schedule at the current time so that </w:t>
      </w:r>
      <w:r w:rsidR="5220AED9" w:rsidRPr="3CEDE98E">
        <w:rPr>
          <w:rFonts w:ascii="Calibri" w:hAnsi="Calibri"/>
        </w:rPr>
        <w:t xml:space="preserve">it can be demonstrated how the </w:t>
      </w:r>
      <w:r w:rsidRPr="3CEDE98E">
        <w:rPr>
          <w:rFonts w:ascii="Calibri" w:hAnsi="Calibri"/>
        </w:rPr>
        <w:t xml:space="preserve">Charging Schedule </w:t>
      </w:r>
      <w:r w:rsidR="5220AED9" w:rsidRPr="3CEDE98E">
        <w:rPr>
          <w:rFonts w:ascii="Calibri" w:hAnsi="Calibri"/>
        </w:rPr>
        <w:t>will support delivery of the Local Plan</w:t>
      </w:r>
      <w:r w:rsidR="51AA71AA" w:rsidRPr="3CEDE98E">
        <w:rPr>
          <w:rFonts w:ascii="Calibri" w:hAnsi="Calibri"/>
        </w:rPr>
        <w:t xml:space="preserve"> 2040</w:t>
      </w:r>
      <w:r w:rsidRPr="3CEDE98E">
        <w:rPr>
          <w:rFonts w:ascii="Calibri" w:hAnsi="Calibri"/>
        </w:rPr>
        <w:t>.</w:t>
      </w:r>
    </w:p>
    <w:p w14:paraId="71F2F28B" w14:textId="77777777" w:rsidR="009511EE" w:rsidRDefault="009511EE" w:rsidP="3CEDE98E">
      <w:pPr>
        <w:pStyle w:val="ListParagraph"/>
        <w:rPr>
          <w:rFonts w:ascii="Calibri" w:hAnsi="Calibri" w:cs="Arial"/>
        </w:rPr>
      </w:pPr>
    </w:p>
    <w:p w14:paraId="5F60248B" w14:textId="12BC4656" w:rsidR="009511EE" w:rsidRPr="009511EE" w:rsidRDefault="2544B3D5" w:rsidP="724A7E7E">
      <w:pPr>
        <w:pStyle w:val="ListParagraph"/>
        <w:numPr>
          <w:ilvl w:val="0"/>
          <w:numId w:val="8"/>
        </w:numPr>
        <w:contextualSpacing/>
        <w:jc w:val="both"/>
        <w:rPr>
          <w:rFonts w:asciiTheme="minorHAnsi" w:hAnsiTheme="minorHAnsi" w:cs="Arial"/>
        </w:rPr>
      </w:pPr>
      <w:r w:rsidRPr="724A7E7E">
        <w:rPr>
          <w:rFonts w:asciiTheme="minorHAnsi" w:hAnsiTheme="minorHAnsi" w:cs="Arial"/>
        </w:rPr>
        <w:t>New viability evidence has been produced to support a review of the Charging Schedule and provide evidence for the Local Plan 2040</w:t>
      </w:r>
      <w:r w:rsidR="67C39D57" w:rsidRPr="724A7E7E">
        <w:rPr>
          <w:rFonts w:asciiTheme="minorHAnsi" w:hAnsiTheme="minorHAnsi" w:cs="Arial"/>
        </w:rPr>
        <w:t xml:space="preserve"> </w:t>
      </w:r>
      <w:r w:rsidR="00862CF3" w:rsidRPr="724A7E7E">
        <w:rPr>
          <w:rFonts w:asciiTheme="minorHAnsi" w:hAnsiTheme="minorHAnsi" w:cs="Arial"/>
        </w:rPr>
        <w:t>to support the proposed rates following the C</w:t>
      </w:r>
      <w:r w:rsidR="00F10F03" w:rsidRPr="724A7E7E">
        <w:rPr>
          <w:rFonts w:asciiTheme="minorHAnsi" w:hAnsiTheme="minorHAnsi" w:cs="Arial"/>
        </w:rPr>
        <w:t>I</w:t>
      </w:r>
      <w:r w:rsidR="00862CF3" w:rsidRPr="724A7E7E">
        <w:rPr>
          <w:rFonts w:asciiTheme="minorHAnsi" w:hAnsiTheme="minorHAnsi" w:cs="Arial"/>
        </w:rPr>
        <w:t>L consultation.</w:t>
      </w:r>
      <w:r w:rsidRPr="724A7E7E">
        <w:rPr>
          <w:rFonts w:asciiTheme="minorHAnsi" w:hAnsiTheme="minorHAnsi" w:cs="Arial"/>
        </w:rPr>
        <w:t xml:space="preserve">  </w:t>
      </w:r>
    </w:p>
    <w:p w14:paraId="65769D84" w14:textId="241E0D2B" w:rsidR="009511EE" w:rsidRPr="009511EE" w:rsidRDefault="009511EE" w:rsidP="18F482E1">
      <w:pPr>
        <w:contextualSpacing/>
        <w:jc w:val="both"/>
        <w:rPr>
          <w:rFonts w:asciiTheme="minorHAnsi" w:hAnsiTheme="minorHAnsi" w:cs="Arial"/>
        </w:rPr>
      </w:pPr>
    </w:p>
    <w:p w14:paraId="472C4596" w14:textId="10C9363C" w:rsidR="009511EE" w:rsidRPr="009511EE" w:rsidRDefault="24A07D3F" w:rsidP="53C9A66A">
      <w:pPr>
        <w:numPr>
          <w:ilvl w:val="0"/>
          <w:numId w:val="8"/>
        </w:numPr>
        <w:contextualSpacing/>
        <w:rPr>
          <w:rFonts w:asciiTheme="minorHAnsi" w:eastAsiaTheme="minorEastAsia" w:hAnsiTheme="minorHAnsi" w:cstheme="minorBidi"/>
          <w:b/>
          <w:bCs/>
        </w:rPr>
      </w:pPr>
      <w:r w:rsidRPr="53C9A66A">
        <w:rPr>
          <w:rFonts w:ascii="Calibri" w:hAnsi="Calibri" w:cs="Arial"/>
        </w:rPr>
        <w:t>The City Council is a charging authority under CIL legislation and went out to consultation on this Draft Charging Schedule with a view to adopting the new schedule in 2024</w:t>
      </w:r>
      <w:r w:rsidR="275E5734" w:rsidRPr="53C9A66A">
        <w:rPr>
          <w:rFonts w:ascii="Calibri" w:hAnsi="Calibri" w:cs="Arial"/>
        </w:rPr>
        <w:t>/5</w:t>
      </w:r>
      <w:r w:rsidRPr="53C9A66A">
        <w:rPr>
          <w:rFonts w:ascii="Calibri" w:hAnsi="Calibri" w:cs="Arial"/>
        </w:rPr>
        <w:t xml:space="preserve">. </w:t>
      </w:r>
      <w:r w:rsidRPr="53C9A66A">
        <w:rPr>
          <w:rFonts w:asciiTheme="minorHAnsi" w:hAnsiTheme="minorHAnsi" w:cs="Arial"/>
        </w:rPr>
        <w:t>The consultation took place</w:t>
      </w:r>
      <w:r w:rsidR="77D0A0DA" w:rsidRPr="53C9A66A">
        <w:rPr>
          <w:rFonts w:asciiTheme="minorHAnsi" w:hAnsiTheme="minorHAnsi" w:cs="Arial"/>
        </w:rPr>
        <w:t xml:space="preserve"> </w:t>
      </w:r>
      <w:r w:rsidR="2AB744E4" w:rsidRPr="53C9A66A">
        <w:rPr>
          <w:rFonts w:asciiTheme="minorHAnsi" w:hAnsiTheme="minorHAnsi" w:cs="Arial"/>
        </w:rPr>
        <w:t xml:space="preserve">from </w:t>
      </w:r>
      <w:r w:rsidR="1A4AD791" w:rsidRPr="53C9A66A">
        <w:rPr>
          <w:rFonts w:ascii="Calibri" w:hAnsi="Calibri" w:cs="Arial"/>
          <w:b/>
          <w:bCs/>
        </w:rPr>
        <w:t>Friday 10</w:t>
      </w:r>
      <w:r w:rsidR="1A4AD791" w:rsidRPr="53C9A66A">
        <w:rPr>
          <w:rFonts w:ascii="Calibri" w:hAnsi="Calibri" w:cs="Arial"/>
          <w:b/>
          <w:bCs/>
          <w:vertAlign w:val="superscript"/>
        </w:rPr>
        <w:t>th</w:t>
      </w:r>
      <w:r w:rsidR="1A4AD791" w:rsidRPr="53C9A66A">
        <w:rPr>
          <w:rFonts w:ascii="Calibri" w:hAnsi="Calibri" w:cs="Arial"/>
          <w:b/>
          <w:bCs/>
        </w:rPr>
        <w:t xml:space="preserve"> November 2023 to Friday 5</w:t>
      </w:r>
      <w:r w:rsidR="1A4AD791" w:rsidRPr="53C9A66A">
        <w:rPr>
          <w:rFonts w:ascii="Calibri" w:hAnsi="Calibri" w:cs="Arial"/>
          <w:b/>
          <w:bCs/>
          <w:vertAlign w:val="superscript"/>
        </w:rPr>
        <w:t>th</w:t>
      </w:r>
      <w:r w:rsidR="1A4AD791" w:rsidRPr="53C9A66A">
        <w:rPr>
          <w:rFonts w:ascii="Calibri" w:hAnsi="Calibri" w:cs="Arial"/>
          <w:b/>
          <w:bCs/>
        </w:rPr>
        <w:t xml:space="preserve"> January 2024</w:t>
      </w:r>
      <w:r w:rsidR="28D91D7A" w:rsidRPr="53C9A66A">
        <w:rPr>
          <w:rFonts w:ascii="Calibri" w:hAnsi="Calibri" w:cs="Arial"/>
          <w:b/>
          <w:bCs/>
        </w:rPr>
        <w:t xml:space="preserve"> </w:t>
      </w:r>
      <w:r w:rsidR="28D91D7A" w:rsidRPr="53C9A66A">
        <w:rPr>
          <w:rFonts w:asciiTheme="minorHAnsi" w:eastAsiaTheme="minorEastAsia" w:hAnsiTheme="minorHAnsi" w:cstheme="minorBidi"/>
          <w:b/>
          <w:bCs/>
          <w:color w:val="000000" w:themeColor="text1"/>
        </w:rPr>
        <w:t>and again, for the statement of modifications in Feb/March 2025</w:t>
      </w:r>
      <w:r w:rsidR="1A4AD791" w:rsidRPr="53C9A66A">
        <w:rPr>
          <w:rFonts w:asciiTheme="minorHAnsi" w:eastAsiaTheme="minorEastAsia" w:hAnsiTheme="minorHAnsi" w:cstheme="minorBidi"/>
          <w:b/>
          <w:bCs/>
        </w:rPr>
        <w:t>.</w:t>
      </w:r>
    </w:p>
    <w:p w14:paraId="470C10CC" w14:textId="7C9E5DE5" w:rsidR="009511EE" w:rsidRPr="009511EE" w:rsidRDefault="009511EE" w:rsidP="191F58C3">
      <w:pPr>
        <w:contextualSpacing/>
        <w:jc w:val="both"/>
        <w:rPr>
          <w:rFonts w:asciiTheme="minorHAnsi" w:hAnsiTheme="minorHAnsi" w:cs="Arial"/>
        </w:rPr>
      </w:pPr>
    </w:p>
    <w:p w14:paraId="463F29E8" w14:textId="2C2E53FE" w:rsidR="000330B1" w:rsidRPr="00676527" w:rsidRDefault="2544B3D5" w:rsidP="191F58C3">
      <w:pPr>
        <w:pStyle w:val="ListParagraph"/>
        <w:numPr>
          <w:ilvl w:val="0"/>
          <w:numId w:val="8"/>
        </w:numPr>
        <w:contextualSpacing/>
        <w:jc w:val="both"/>
        <w:rPr>
          <w:rFonts w:asciiTheme="minorHAnsi" w:hAnsiTheme="minorHAnsi" w:cs="Arial"/>
        </w:rPr>
      </w:pPr>
      <w:r w:rsidRPr="191F58C3">
        <w:rPr>
          <w:rFonts w:asciiTheme="minorHAnsi" w:hAnsiTheme="minorHAnsi" w:cs="Arial"/>
        </w:rPr>
        <w:t>In line with th</w:t>
      </w:r>
      <w:r w:rsidR="138029A1" w:rsidRPr="191F58C3">
        <w:rPr>
          <w:rFonts w:asciiTheme="minorHAnsi" w:hAnsiTheme="minorHAnsi" w:cs="Arial"/>
        </w:rPr>
        <w:t>e updated</w:t>
      </w:r>
      <w:r w:rsidRPr="191F58C3">
        <w:rPr>
          <w:rFonts w:asciiTheme="minorHAnsi" w:hAnsiTheme="minorHAnsi" w:cs="Arial"/>
        </w:rPr>
        <w:t xml:space="preserve"> evidence</w:t>
      </w:r>
      <w:r w:rsidR="4A616877" w:rsidRPr="191F58C3">
        <w:rPr>
          <w:rFonts w:asciiTheme="minorHAnsi" w:hAnsiTheme="minorHAnsi" w:cs="Arial"/>
        </w:rPr>
        <w:t xml:space="preserve"> and having taken into consideration the content of the representations raised at </w:t>
      </w:r>
      <w:r w:rsidR="00C13484" w:rsidRPr="191F58C3">
        <w:rPr>
          <w:rFonts w:asciiTheme="minorHAnsi" w:hAnsiTheme="minorHAnsi" w:cs="Arial"/>
        </w:rPr>
        <w:t>consultation,</w:t>
      </w:r>
      <w:r w:rsidRPr="191F58C3">
        <w:rPr>
          <w:rFonts w:asciiTheme="minorHAnsi" w:hAnsiTheme="minorHAnsi" w:cs="Arial"/>
        </w:rPr>
        <w:t xml:space="preserve"> partial amendments to the existing CIL Charging Schedule are published for </w:t>
      </w:r>
      <w:r w:rsidR="650EBE32" w:rsidRPr="191F58C3">
        <w:rPr>
          <w:rFonts w:asciiTheme="minorHAnsi" w:hAnsiTheme="minorHAnsi" w:cs="Arial"/>
        </w:rPr>
        <w:t>examin</w:t>
      </w:r>
      <w:r w:rsidRPr="191F58C3">
        <w:rPr>
          <w:rFonts w:asciiTheme="minorHAnsi" w:hAnsiTheme="minorHAnsi" w:cs="Arial"/>
        </w:rPr>
        <w:t xml:space="preserve">ation.   </w:t>
      </w:r>
    </w:p>
    <w:p w14:paraId="3B7B4B86" w14:textId="77777777" w:rsidR="000330B1" w:rsidRPr="00676527" w:rsidRDefault="000330B1" w:rsidP="4A4F46FD">
      <w:pPr>
        <w:pStyle w:val="ListParagraph"/>
        <w:rPr>
          <w:rFonts w:ascii="Calibri" w:hAnsi="Calibri" w:cs="Arial"/>
        </w:rPr>
      </w:pPr>
    </w:p>
    <w:p w14:paraId="007A23A0" w14:textId="20AC1F9C" w:rsidR="000330B1" w:rsidRPr="00676527" w:rsidRDefault="5220AED9" w:rsidP="3CEDE98E">
      <w:pPr>
        <w:numPr>
          <w:ilvl w:val="0"/>
          <w:numId w:val="8"/>
        </w:numPr>
        <w:rPr>
          <w:rFonts w:ascii="Calibri" w:hAnsi="Calibri" w:cs="Arial"/>
        </w:rPr>
      </w:pPr>
      <w:r w:rsidRPr="18F482E1">
        <w:rPr>
          <w:rFonts w:ascii="Calibri" w:hAnsi="Calibri" w:cs="Arial"/>
        </w:rPr>
        <w:t>The Draft Charging Schedule is supported by the following evidence documents</w:t>
      </w:r>
      <w:r w:rsidR="56CB6EC1" w:rsidRPr="18F482E1">
        <w:rPr>
          <w:rFonts w:ascii="Calibri" w:hAnsi="Calibri" w:cs="Arial"/>
        </w:rPr>
        <w:t>, which can be found on the Council’s website</w:t>
      </w:r>
      <w:r w:rsidRPr="18F482E1">
        <w:rPr>
          <w:rFonts w:ascii="Calibri" w:hAnsi="Calibri" w:cs="Arial"/>
        </w:rPr>
        <w:t>:</w:t>
      </w:r>
    </w:p>
    <w:p w14:paraId="5630AD66" w14:textId="77777777" w:rsidR="000330B1" w:rsidRPr="00676527" w:rsidRDefault="000330B1" w:rsidP="000330B1">
      <w:pPr>
        <w:pStyle w:val="ListParagraph"/>
        <w:rPr>
          <w:rFonts w:ascii="Calibri" w:hAnsi="Calibri" w:cs="Arial"/>
        </w:rPr>
      </w:pPr>
    </w:p>
    <w:p w14:paraId="751E7DF5" w14:textId="1DBF917D" w:rsidR="000330B1" w:rsidRDefault="00336A8E" w:rsidP="4A4F46FD">
      <w:pPr>
        <w:pStyle w:val="ListParagraph"/>
        <w:numPr>
          <w:ilvl w:val="0"/>
          <w:numId w:val="29"/>
        </w:numPr>
        <w:tabs>
          <w:tab w:val="left" w:pos="426"/>
        </w:tabs>
        <w:spacing w:after="120"/>
        <w:rPr>
          <w:rFonts w:ascii="Calibri" w:hAnsi="Calibri"/>
          <w:color w:val="000000" w:themeColor="text1"/>
        </w:rPr>
      </w:pPr>
      <w:r w:rsidRPr="4A4F46FD">
        <w:rPr>
          <w:rFonts w:ascii="Calibri" w:hAnsi="Calibri"/>
          <w:i/>
          <w:iCs/>
        </w:rPr>
        <w:t>The</w:t>
      </w:r>
      <w:r w:rsidR="000330B1" w:rsidRPr="4A4F46FD">
        <w:rPr>
          <w:rFonts w:ascii="Calibri" w:hAnsi="Calibri"/>
        </w:rPr>
        <w:t xml:space="preserve"> </w:t>
      </w:r>
      <w:r w:rsidR="000330B1" w:rsidRPr="4A4F46FD">
        <w:rPr>
          <w:rFonts w:ascii="Calibri" w:hAnsi="Calibri"/>
          <w:i/>
          <w:iCs/>
        </w:rPr>
        <w:t>Infrastructure Delivery Plan</w:t>
      </w:r>
      <w:r w:rsidR="003215E6" w:rsidRPr="4A4F46FD">
        <w:rPr>
          <w:rFonts w:ascii="Calibri" w:hAnsi="Calibri"/>
          <w:i/>
          <w:iCs/>
        </w:rPr>
        <w:t xml:space="preserve"> (IDP)</w:t>
      </w:r>
      <w:r w:rsidR="000330B1" w:rsidRPr="4A4F46FD">
        <w:rPr>
          <w:rFonts w:ascii="Calibri" w:hAnsi="Calibri"/>
        </w:rPr>
        <w:t xml:space="preserve"> which sets out infrastructure requirements to support the delivery of the Local Plan 20</w:t>
      </w:r>
      <w:r w:rsidR="006701AE" w:rsidRPr="4A4F46FD">
        <w:rPr>
          <w:rFonts w:ascii="Calibri" w:hAnsi="Calibri"/>
        </w:rPr>
        <w:t>40</w:t>
      </w:r>
      <w:r w:rsidR="000330B1" w:rsidRPr="4A4F46FD">
        <w:rPr>
          <w:rFonts w:ascii="Calibri" w:hAnsi="Calibri"/>
        </w:rPr>
        <w:t>.</w:t>
      </w:r>
    </w:p>
    <w:p w14:paraId="6ACDD5E4" w14:textId="37204AB7" w:rsidR="00195C96" w:rsidRPr="00195C96" w:rsidRDefault="00195C96" w:rsidP="4A4F46FD">
      <w:pPr>
        <w:pStyle w:val="ListParagraph"/>
        <w:numPr>
          <w:ilvl w:val="0"/>
          <w:numId w:val="29"/>
        </w:numPr>
        <w:tabs>
          <w:tab w:val="left" w:pos="426"/>
        </w:tabs>
        <w:spacing w:after="120"/>
        <w:rPr>
          <w:rFonts w:ascii="Calibri" w:hAnsi="Calibri"/>
          <w:i/>
          <w:iCs/>
          <w:color w:val="000000" w:themeColor="text1"/>
        </w:rPr>
      </w:pPr>
      <w:r w:rsidRPr="4A4F46FD">
        <w:rPr>
          <w:rFonts w:ascii="Calibri" w:hAnsi="Calibri"/>
          <w:i/>
          <w:iCs/>
        </w:rPr>
        <w:t xml:space="preserve">An Infrastructure Funding Gap Statement </w:t>
      </w:r>
      <w:r w:rsidR="007543F3" w:rsidRPr="4A4F46FD">
        <w:rPr>
          <w:rFonts w:ascii="Calibri" w:hAnsi="Calibri"/>
          <w:i/>
          <w:iCs/>
        </w:rPr>
        <w:t>–</w:t>
      </w:r>
      <w:r w:rsidR="00EF42EF" w:rsidRPr="4A4F46FD">
        <w:rPr>
          <w:rFonts w:ascii="Calibri" w:hAnsi="Calibri"/>
          <w:i/>
          <w:iCs/>
        </w:rPr>
        <w:t xml:space="preserve"> </w:t>
      </w:r>
      <w:r w:rsidR="00E94D6F" w:rsidRPr="4A4F46FD">
        <w:rPr>
          <w:rFonts w:ascii="Calibri" w:hAnsi="Calibri"/>
        </w:rPr>
        <w:t>demonstrating that a</w:t>
      </w:r>
      <w:r w:rsidR="00EF42EF" w:rsidRPr="4A4F46FD">
        <w:rPr>
          <w:rFonts w:ascii="Calibri" w:hAnsi="Calibri"/>
        </w:rPr>
        <w:t xml:space="preserve"> considerable</w:t>
      </w:r>
      <w:r w:rsidR="00E94D6F" w:rsidRPr="4A4F46FD">
        <w:rPr>
          <w:rFonts w:ascii="Calibri" w:hAnsi="Calibri"/>
        </w:rPr>
        <w:t xml:space="preserve"> infrastructure gap remains, and CIL funding is still highly desirable for Oxford in addition to other funding sources</w:t>
      </w:r>
      <w:r w:rsidR="00E94D6F" w:rsidRPr="4A4F46FD">
        <w:rPr>
          <w:rFonts w:ascii="Calibri" w:hAnsi="Calibri"/>
          <w:color w:val="000000" w:themeColor="text1"/>
        </w:rPr>
        <w:t>.</w:t>
      </w:r>
    </w:p>
    <w:p w14:paraId="731A9D86" w14:textId="79F23CD9" w:rsidR="00D71974" w:rsidRPr="00A95CC4" w:rsidRDefault="00D71974" w:rsidP="4A4F46FD">
      <w:pPr>
        <w:pStyle w:val="ListParagraph"/>
        <w:numPr>
          <w:ilvl w:val="0"/>
          <w:numId w:val="29"/>
        </w:numPr>
        <w:tabs>
          <w:tab w:val="left" w:pos="426"/>
        </w:tabs>
        <w:spacing w:after="120"/>
        <w:rPr>
          <w:rFonts w:ascii="Calibri" w:hAnsi="Calibri"/>
          <w:color w:val="000000" w:themeColor="text1"/>
        </w:rPr>
      </w:pPr>
      <w:r w:rsidRPr="4A4F46FD">
        <w:rPr>
          <w:rFonts w:ascii="Calibri" w:hAnsi="Calibri"/>
          <w:i/>
          <w:iCs/>
          <w:color w:val="000000" w:themeColor="text1"/>
        </w:rPr>
        <w:t>The Infrastructure Funding Statement 2021/2022</w:t>
      </w:r>
      <w:r w:rsidRPr="4A4F46FD">
        <w:rPr>
          <w:rFonts w:ascii="Calibri" w:hAnsi="Calibri"/>
          <w:color w:val="000000" w:themeColor="text1"/>
        </w:rPr>
        <w:t xml:space="preserve">, which </w:t>
      </w:r>
      <w:r w:rsidR="00195C96" w:rsidRPr="4A4F46FD">
        <w:rPr>
          <w:rFonts w:ascii="Calibri" w:hAnsi="Calibri"/>
          <w:color w:val="000000" w:themeColor="text1"/>
        </w:rPr>
        <w:t>includes</w:t>
      </w:r>
      <w:r w:rsidRPr="4A4F46FD">
        <w:rPr>
          <w:rFonts w:ascii="Calibri" w:hAnsi="Calibri"/>
          <w:color w:val="000000" w:themeColor="text1"/>
        </w:rPr>
        <w:t xml:space="preserve"> the list of Infrastructure Projects which CIL is intended to </w:t>
      </w:r>
      <w:r w:rsidR="00A95CC4" w:rsidRPr="4A4F46FD">
        <w:rPr>
          <w:rFonts w:ascii="Calibri" w:hAnsi="Calibri"/>
          <w:color w:val="000000" w:themeColor="text1"/>
        </w:rPr>
        <w:t xml:space="preserve">fund </w:t>
      </w:r>
      <w:r w:rsidR="003A7A95" w:rsidRPr="4A4F46FD">
        <w:rPr>
          <w:rFonts w:ascii="Calibri" w:hAnsi="Calibri"/>
          <w:color w:val="000000" w:themeColor="text1"/>
        </w:rPr>
        <w:t>partly or in full</w:t>
      </w:r>
      <w:r w:rsidR="00A95CC4" w:rsidRPr="4A4F46FD">
        <w:rPr>
          <w:rFonts w:ascii="Calibri" w:hAnsi="Calibri"/>
          <w:color w:val="000000" w:themeColor="text1"/>
        </w:rPr>
        <w:t>.</w:t>
      </w:r>
    </w:p>
    <w:p w14:paraId="3A76ECB4" w14:textId="564F1928" w:rsidR="000330B1" w:rsidRDefault="6E14661B" w:rsidP="4A4F46FD">
      <w:pPr>
        <w:pStyle w:val="ListParagraph"/>
        <w:numPr>
          <w:ilvl w:val="0"/>
          <w:numId w:val="29"/>
        </w:numPr>
        <w:tabs>
          <w:tab w:val="left" w:pos="426"/>
        </w:tabs>
        <w:spacing w:after="120"/>
        <w:rPr>
          <w:rFonts w:ascii="Calibri" w:hAnsi="Calibri"/>
          <w:color w:val="000000" w:themeColor="text1"/>
        </w:rPr>
      </w:pPr>
      <w:r w:rsidRPr="4A4F46FD">
        <w:rPr>
          <w:rFonts w:ascii="Calibri" w:hAnsi="Calibri"/>
          <w:i/>
          <w:iCs/>
        </w:rPr>
        <w:t>The</w:t>
      </w:r>
      <w:r w:rsidR="5BF1B269" w:rsidRPr="4A4F46FD">
        <w:rPr>
          <w:rFonts w:ascii="Calibri" w:hAnsi="Calibri"/>
          <w:i/>
          <w:iCs/>
        </w:rPr>
        <w:t xml:space="preserve"> Oxford City Council:</w:t>
      </w:r>
      <w:r w:rsidR="1D731A4B" w:rsidRPr="4A4F46FD">
        <w:rPr>
          <w:rFonts w:ascii="Calibri" w:hAnsi="Calibri"/>
          <w:i/>
          <w:iCs/>
        </w:rPr>
        <w:t xml:space="preserve"> Local Plan</w:t>
      </w:r>
      <w:r w:rsidR="0EE1CC7C" w:rsidRPr="4A4F46FD">
        <w:rPr>
          <w:rFonts w:ascii="Calibri" w:hAnsi="Calibri"/>
          <w:i/>
          <w:iCs/>
        </w:rPr>
        <w:t xml:space="preserve"> Viability </w:t>
      </w:r>
      <w:r w:rsidR="31577877" w:rsidRPr="4A4F46FD">
        <w:rPr>
          <w:rFonts w:ascii="Calibri" w:hAnsi="Calibri"/>
          <w:i/>
          <w:iCs/>
        </w:rPr>
        <w:t>Assessment</w:t>
      </w:r>
      <w:r w:rsidR="449B9D74" w:rsidRPr="4A4F46FD">
        <w:rPr>
          <w:rFonts w:ascii="Calibri" w:hAnsi="Calibri"/>
        </w:rPr>
        <w:t xml:space="preserve"> has been</w:t>
      </w:r>
      <w:r w:rsidR="0EE1CC7C" w:rsidRPr="4A4F46FD">
        <w:rPr>
          <w:rFonts w:ascii="Calibri" w:hAnsi="Calibri"/>
        </w:rPr>
        <w:t xml:space="preserve"> undertaken by consultants</w:t>
      </w:r>
      <w:r w:rsidR="449B9D74" w:rsidRPr="4A4F46FD">
        <w:rPr>
          <w:rFonts w:ascii="Calibri" w:hAnsi="Calibri"/>
        </w:rPr>
        <w:t xml:space="preserve"> (BNP Paribas)</w:t>
      </w:r>
      <w:r w:rsidR="0EE1CC7C" w:rsidRPr="4A4F46FD">
        <w:rPr>
          <w:rFonts w:ascii="Calibri" w:hAnsi="Calibri"/>
        </w:rPr>
        <w:t xml:space="preserve"> and is a critical piece of evidence to assist in determining the most appropriate level for the CIL tariff. It considers </w:t>
      </w:r>
      <w:r w:rsidR="10445BDF" w:rsidRPr="4A4F46FD">
        <w:rPr>
          <w:rFonts w:ascii="Calibri" w:hAnsi="Calibri"/>
        </w:rPr>
        <w:t xml:space="preserve">the viability of development against the </w:t>
      </w:r>
      <w:r w:rsidR="356B4993" w:rsidRPr="4A4F46FD">
        <w:rPr>
          <w:rFonts w:ascii="Calibri" w:hAnsi="Calibri"/>
        </w:rPr>
        <w:t>costs</w:t>
      </w:r>
      <w:r w:rsidR="0EE1CC7C" w:rsidRPr="4A4F46FD">
        <w:rPr>
          <w:rFonts w:ascii="Calibri" w:hAnsi="Calibri"/>
        </w:rPr>
        <w:t xml:space="preserve"> placed upon new development </w:t>
      </w:r>
      <w:r w:rsidR="0EE1CC7C" w:rsidRPr="4A4F46FD">
        <w:rPr>
          <w:rFonts w:ascii="Calibri" w:hAnsi="Calibri"/>
          <w:color w:val="000000" w:themeColor="text1"/>
        </w:rPr>
        <w:t>through the Local Plan 20</w:t>
      </w:r>
      <w:r w:rsidR="501C3944" w:rsidRPr="4A4F46FD">
        <w:rPr>
          <w:rFonts w:ascii="Calibri" w:hAnsi="Calibri"/>
          <w:color w:val="000000" w:themeColor="text1"/>
        </w:rPr>
        <w:t>40</w:t>
      </w:r>
      <w:r w:rsidR="356B4993" w:rsidRPr="4A4F46FD">
        <w:rPr>
          <w:rFonts w:ascii="Calibri" w:hAnsi="Calibri"/>
          <w:color w:val="000000" w:themeColor="text1"/>
        </w:rPr>
        <w:t>’s policies and the application of CIL</w:t>
      </w:r>
      <w:r w:rsidR="0EE1CC7C" w:rsidRPr="4A4F46FD">
        <w:rPr>
          <w:rFonts w:ascii="Calibri" w:hAnsi="Calibri"/>
          <w:color w:val="000000" w:themeColor="text1"/>
        </w:rPr>
        <w:t>.</w:t>
      </w:r>
    </w:p>
    <w:p w14:paraId="61829076" w14:textId="4922A2BF" w:rsidR="000330B1" w:rsidRPr="00676527" w:rsidRDefault="00C13484" w:rsidP="4A4F46FD">
      <w:pPr>
        <w:pStyle w:val="ListParagraph"/>
        <w:numPr>
          <w:ilvl w:val="0"/>
          <w:numId w:val="29"/>
        </w:numPr>
        <w:tabs>
          <w:tab w:val="left" w:pos="426"/>
        </w:tabs>
        <w:spacing w:after="120"/>
        <w:rPr>
          <w:rFonts w:ascii="Calibri" w:hAnsi="Calibri"/>
          <w:color w:val="000000" w:themeColor="text1"/>
        </w:rPr>
      </w:pPr>
      <w:r w:rsidRPr="4A4F46FD">
        <w:rPr>
          <w:rFonts w:ascii="Calibri" w:hAnsi="Calibri"/>
          <w:i/>
          <w:iCs/>
          <w:color w:val="000000" w:themeColor="text1"/>
        </w:rPr>
        <w:t xml:space="preserve">The Oxford </w:t>
      </w:r>
      <w:r w:rsidR="00822EAF" w:rsidRPr="4A4F46FD">
        <w:rPr>
          <w:rFonts w:ascii="Calibri" w:hAnsi="Calibri"/>
          <w:i/>
          <w:iCs/>
          <w:color w:val="000000" w:themeColor="text1"/>
        </w:rPr>
        <w:t>CIL</w:t>
      </w:r>
      <w:r w:rsidRPr="4A4F46FD">
        <w:rPr>
          <w:rFonts w:ascii="Calibri" w:hAnsi="Calibri"/>
          <w:i/>
          <w:iCs/>
          <w:color w:val="000000" w:themeColor="text1"/>
        </w:rPr>
        <w:t xml:space="preserve"> Offices and R&amp;D Viability</w:t>
      </w:r>
      <w:r w:rsidR="00822EAF" w:rsidRPr="4A4F46FD">
        <w:rPr>
          <w:rFonts w:ascii="Calibri" w:hAnsi="Calibri"/>
          <w:i/>
          <w:iCs/>
          <w:color w:val="000000" w:themeColor="text1"/>
        </w:rPr>
        <w:t xml:space="preserve"> Addendum</w:t>
      </w:r>
      <w:r w:rsidR="6F5E0179" w:rsidRPr="4A4F46FD">
        <w:rPr>
          <w:rFonts w:ascii="Calibri" w:hAnsi="Calibri"/>
          <w:i/>
          <w:iCs/>
          <w:color w:val="000000" w:themeColor="text1"/>
        </w:rPr>
        <w:t xml:space="preserve"> note</w:t>
      </w:r>
      <w:r w:rsidRPr="4A4F46FD">
        <w:rPr>
          <w:rFonts w:ascii="Calibri" w:hAnsi="Calibri"/>
          <w:i/>
          <w:iCs/>
          <w:color w:val="000000" w:themeColor="text1"/>
        </w:rPr>
        <w:t xml:space="preserve"> </w:t>
      </w:r>
      <w:r w:rsidRPr="4A4F46FD">
        <w:rPr>
          <w:rFonts w:ascii="Calibri" w:hAnsi="Calibri"/>
          <w:color w:val="000000" w:themeColor="text1"/>
        </w:rPr>
        <w:t>was produced following consultation to consider</w:t>
      </w:r>
      <w:r w:rsidR="2BE15288" w:rsidRPr="4A4F46FD">
        <w:rPr>
          <w:rFonts w:ascii="Calibri" w:hAnsi="Calibri"/>
          <w:color w:val="000000" w:themeColor="text1"/>
        </w:rPr>
        <w:t xml:space="preserve"> additional</w:t>
      </w:r>
      <w:r w:rsidRPr="4A4F46FD">
        <w:rPr>
          <w:rFonts w:ascii="Calibri" w:hAnsi="Calibri"/>
          <w:color w:val="000000" w:themeColor="text1"/>
        </w:rPr>
        <w:t xml:space="preserve"> site-specific testing of the R&amp;D and Offices rates</w:t>
      </w:r>
      <w:r w:rsidR="0326A0B5" w:rsidRPr="4A4F46FD">
        <w:rPr>
          <w:rFonts w:ascii="Calibri" w:hAnsi="Calibri"/>
          <w:color w:val="000000" w:themeColor="text1"/>
        </w:rPr>
        <w:t>.</w:t>
      </w:r>
    </w:p>
    <w:p w14:paraId="793C1216" w14:textId="77777777" w:rsidR="007B1D32" w:rsidRDefault="007B1D32">
      <w:pPr>
        <w:rPr>
          <w:rFonts w:ascii="Calibri" w:hAnsi="Calibri" w:cs="Arial"/>
          <w:b/>
          <w:color w:val="007373"/>
        </w:rPr>
      </w:pPr>
      <w:r>
        <w:rPr>
          <w:rFonts w:ascii="Calibri" w:hAnsi="Calibri" w:cs="Arial"/>
          <w:b/>
          <w:color w:val="007373"/>
        </w:rPr>
        <w:br w:type="page"/>
      </w:r>
    </w:p>
    <w:p w14:paraId="714F9E65" w14:textId="2206C83A" w:rsidR="00621B0F" w:rsidRPr="004212F8" w:rsidRDefault="006B3A6B" w:rsidP="004212F8">
      <w:pPr>
        <w:rPr>
          <w:rFonts w:ascii="Calibri" w:hAnsi="Calibri" w:cs="Arial"/>
          <w:b/>
          <w:color w:val="0070C0"/>
        </w:rPr>
      </w:pPr>
      <w:r w:rsidRPr="004212F8">
        <w:rPr>
          <w:rFonts w:ascii="Calibri" w:hAnsi="Calibri" w:cs="Arial"/>
          <w:b/>
          <w:color w:val="007373"/>
        </w:rPr>
        <w:lastRenderedPageBreak/>
        <w:t>The Community Infrastructure Levy</w:t>
      </w:r>
    </w:p>
    <w:p w14:paraId="3C00D061" w14:textId="1BD24A52" w:rsidR="00DB3425" w:rsidRPr="004D2CED" w:rsidRDefault="00DB3425" w:rsidP="00DB3425">
      <w:pPr>
        <w:numPr>
          <w:ilvl w:val="0"/>
          <w:numId w:val="8"/>
        </w:numPr>
        <w:rPr>
          <w:rFonts w:ascii="Calibri" w:hAnsi="Calibri" w:cs="Arial"/>
        </w:rPr>
      </w:pPr>
      <w:r w:rsidRPr="31522B7C">
        <w:rPr>
          <w:rFonts w:ascii="Calibri" w:hAnsi="Calibri" w:cs="Arial"/>
        </w:rPr>
        <w:t xml:space="preserve">Oxford City Council is the charging authority for the purpose of Part 11 of the Planning Act 2008 and the CIL Regulations 2010 </w:t>
      </w:r>
      <w:r w:rsidR="006807DA" w:rsidRPr="31522B7C">
        <w:rPr>
          <w:rFonts w:ascii="Calibri" w:hAnsi="Calibri" w:cs="Arial"/>
        </w:rPr>
        <w:t>(</w:t>
      </w:r>
      <w:r w:rsidRPr="31522B7C">
        <w:rPr>
          <w:rFonts w:ascii="Calibri" w:hAnsi="Calibri" w:cs="Arial"/>
        </w:rPr>
        <w:t>as amended</w:t>
      </w:r>
      <w:r w:rsidR="006807DA" w:rsidRPr="31522B7C">
        <w:rPr>
          <w:rFonts w:ascii="Calibri" w:hAnsi="Calibri" w:cs="Arial"/>
        </w:rPr>
        <w:t>)</w:t>
      </w:r>
      <w:r w:rsidRPr="31522B7C">
        <w:rPr>
          <w:rFonts w:ascii="Calibri" w:hAnsi="Calibri" w:cs="Arial"/>
        </w:rPr>
        <w:t>.</w:t>
      </w:r>
    </w:p>
    <w:p w14:paraId="17AD93B2" w14:textId="77777777" w:rsidR="00DB3425" w:rsidRDefault="00DB3425" w:rsidP="00DB3425">
      <w:pPr>
        <w:ind w:left="360"/>
        <w:rPr>
          <w:rFonts w:ascii="Calibri" w:hAnsi="Calibri" w:cs="Arial"/>
        </w:rPr>
      </w:pPr>
    </w:p>
    <w:p w14:paraId="14C161EF" w14:textId="77777777" w:rsidR="00621B0F" w:rsidRPr="004D2CED" w:rsidRDefault="00621B0F" w:rsidP="00A74976">
      <w:pPr>
        <w:numPr>
          <w:ilvl w:val="0"/>
          <w:numId w:val="8"/>
        </w:numPr>
        <w:rPr>
          <w:rFonts w:ascii="Calibri" w:hAnsi="Calibri" w:cs="Arial"/>
        </w:rPr>
      </w:pPr>
      <w:r w:rsidRPr="31522B7C">
        <w:rPr>
          <w:rFonts w:ascii="Calibri" w:hAnsi="Calibri" w:cs="Arial"/>
        </w:rPr>
        <w:t xml:space="preserve">The Community Infrastructure Levy is a tariff in the form of a standard charge on new development, which in Oxford </w:t>
      </w:r>
      <w:r w:rsidR="00AB72D4" w:rsidRPr="31522B7C">
        <w:rPr>
          <w:rFonts w:ascii="Calibri" w:hAnsi="Calibri" w:cs="Arial"/>
        </w:rPr>
        <w:t xml:space="preserve">is </w:t>
      </w:r>
      <w:r w:rsidRPr="31522B7C">
        <w:rPr>
          <w:rFonts w:ascii="Calibri" w:hAnsi="Calibri" w:cs="Arial"/>
        </w:rPr>
        <w:t>set by the City Council to help the funding of infrastructure. It is intended to supplement</w:t>
      </w:r>
      <w:r w:rsidR="00960B75" w:rsidRPr="31522B7C">
        <w:rPr>
          <w:rFonts w:ascii="Calibri" w:hAnsi="Calibri" w:cs="Arial"/>
        </w:rPr>
        <w:t>,</w:t>
      </w:r>
      <w:r w:rsidRPr="31522B7C">
        <w:rPr>
          <w:rFonts w:ascii="Calibri" w:hAnsi="Calibri" w:cs="Arial"/>
        </w:rPr>
        <w:t xml:space="preserve"> or top up</w:t>
      </w:r>
      <w:r w:rsidR="00960B75" w:rsidRPr="31522B7C">
        <w:rPr>
          <w:rFonts w:ascii="Calibri" w:hAnsi="Calibri" w:cs="Arial"/>
        </w:rPr>
        <w:t>,</w:t>
      </w:r>
      <w:r w:rsidRPr="31522B7C">
        <w:rPr>
          <w:rFonts w:ascii="Calibri" w:hAnsi="Calibri" w:cs="Arial"/>
        </w:rPr>
        <w:t xml:space="preserve"> other sources of funding to widen infrastructure delivery. </w:t>
      </w:r>
    </w:p>
    <w:p w14:paraId="0DE4B5B7" w14:textId="77777777" w:rsidR="00621B0F" w:rsidRPr="004D2CED" w:rsidRDefault="00621B0F" w:rsidP="00621B0F">
      <w:pPr>
        <w:rPr>
          <w:rFonts w:ascii="Calibri" w:hAnsi="Calibri" w:cs="Arial"/>
        </w:rPr>
      </w:pPr>
    </w:p>
    <w:p w14:paraId="53FBBF3B" w14:textId="77777777" w:rsidR="00621B0F" w:rsidRDefault="00621B0F" w:rsidP="00A74976">
      <w:pPr>
        <w:numPr>
          <w:ilvl w:val="0"/>
          <w:numId w:val="8"/>
        </w:numPr>
        <w:rPr>
          <w:rFonts w:ascii="Calibri" w:hAnsi="Calibri" w:cs="Arial"/>
        </w:rPr>
      </w:pPr>
      <w:r w:rsidRPr="31522B7C">
        <w:rPr>
          <w:rFonts w:ascii="Calibri" w:hAnsi="Calibri" w:cs="Arial"/>
        </w:rPr>
        <w:t>Most development has some impact on infrastructure and should contribute to the cost of providing or improving infrastructure.</w:t>
      </w:r>
      <w:r w:rsidR="007D11E6" w:rsidRPr="31522B7C">
        <w:rPr>
          <w:rFonts w:ascii="Calibri" w:hAnsi="Calibri" w:cs="Arial"/>
        </w:rPr>
        <w:t xml:space="preserve"> The principle behind CIL is for those who benefit financially from a planning permission to pay towards the cost of funding the infrastructure needed to support development.</w:t>
      </w:r>
      <w:r w:rsidRPr="31522B7C">
        <w:rPr>
          <w:rFonts w:ascii="Calibri" w:hAnsi="Calibri" w:cs="Arial"/>
        </w:rPr>
        <w:t xml:space="preserve"> </w:t>
      </w:r>
    </w:p>
    <w:p w14:paraId="66204FF1" w14:textId="77777777" w:rsidR="00621B0F" w:rsidRPr="007E22F2" w:rsidRDefault="00621B0F" w:rsidP="00621B0F">
      <w:pPr>
        <w:rPr>
          <w:rFonts w:ascii="Calibri" w:hAnsi="Calibri" w:cs="Arial"/>
        </w:rPr>
      </w:pPr>
    </w:p>
    <w:p w14:paraId="48456DA9" w14:textId="2CD5F2ED" w:rsidR="00B13809" w:rsidRDefault="00621B0F" w:rsidP="00A74976">
      <w:pPr>
        <w:numPr>
          <w:ilvl w:val="0"/>
          <w:numId w:val="8"/>
        </w:numPr>
        <w:rPr>
          <w:rFonts w:ascii="Calibri" w:hAnsi="Calibri" w:cs="Arial"/>
        </w:rPr>
      </w:pPr>
      <w:r w:rsidRPr="31522B7C">
        <w:rPr>
          <w:rFonts w:ascii="Calibri" w:hAnsi="Calibri" w:cs="Arial"/>
        </w:rPr>
        <w:t>CIL will improve Oxford City Council’s ability to mitigate the cumulative impacts on infrastructure from most developments</w:t>
      </w:r>
      <w:r w:rsidR="00F17238" w:rsidRPr="31522B7C">
        <w:rPr>
          <w:rFonts w:ascii="Calibri" w:hAnsi="Calibri" w:cs="Arial"/>
        </w:rPr>
        <w:t xml:space="preserve"> as </w:t>
      </w:r>
      <w:r w:rsidR="00630293" w:rsidRPr="31522B7C">
        <w:rPr>
          <w:rFonts w:ascii="Calibri" w:hAnsi="Calibri" w:cs="Arial"/>
        </w:rPr>
        <w:t xml:space="preserve">it is </w:t>
      </w:r>
      <w:r w:rsidRPr="31522B7C">
        <w:rPr>
          <w:rFonts w:ascii="Calibri" w:hAnsi="Calibri" w:cs="Arial"/>
        </w:rPr>
        <w:t xml:space="preserve">charged </w:t>
      </w:r>
      <w:r w:rsidR="00960B75" w:rsidRPr="31522B7C">
        <w:rPr>
          <w:rFonts w:ascii="Calibri" w:hAnsi="Calibri" w:cs="Arial"/>
        </w:rPr>
        <w:t xml:space="preserve">on a </w:t>
      </w:r>
      <w:r w:rsidRPr="31522B7C">
        <w:rPr>
          <w:rFonts w:ascii="Calibri" w:hAnsi="Calibri" w:cs="Arial"/>
        </w:rPr>
        <w:t>per square metre</w:t>
      </w:r>
      <w:r w:rsidR="00960B75" w:rsidRPr="31522B7C">
        <w:rPr>
          <w:rFonts w:ascii="Calibri" w:hAnsi="Calibri" w:cs="Arial"/>
        </w:rPr>
        <w:t xml:space="preserve"> basis</w:t>
      </w:r>
      <w:r w:rsidR="00630293" w:rsidRPr="31522B7C">
        <w:rPr>
          <w:rFonts w:ascii="Calibri" w:hAnsi="Calibri" w:cs="Arial"/>
        </w:rPr>
        <w:t xml:space="preserve"> and</w:t>
      </w:r>
      <w:r w:rsidRPr="31522B7C">
        <w:rPr>
          <w:rFonts w:ascii="Calibri" w:hAnsi="Calibri" w:cs="Arial"/>
        </w:rPr>
        <w:t xml:space="preserve"> </w:t>
      </w:r>
      <w:r w:rsidR="00630293" w:rsidRPr="31522B7C">
        <w:rPr>
          <w:rFonts w:ascii="Calibri" w:hAnsi="Calibri" w:cs="Arial"/>
        </w:rPr>
        <w:t>is</w:t>
      </w:r>
      <w:r w:rsidRPr="31522B7C">
        <w:rPr>
          <w:rFonts w:ascii="Calibri" w:hAnsi="Calibri" w:cs="Arial"/>
        </w:rPr>
        <w:t xml:space="preserve"> </w:t>
      </w:r>
      <w:r w:rsidR="00960B75" w:rsidRPr="31522B7C">
        <w:rPr>
          <w:rFonts w:ascii="Calibri" w:hAnsi="Calibri" w:cs="Arial"/>
        </w:rPr>
        <w:t xml:space="preserve">proportional </w:t>
      </w:r>
      <w:r w:rsidRPr="31522B7C">
        <w:rPr>
          <w:rFonts w:ascii="Calibri" w:hAnsi="Calibri" w:cs="Arial"/>
        </w:rPr>
        <w:t xml:space="preserve">to the scale of the development. </w:t>
      </w:r>
    </w:p>
    <w:p w14:paraId="2DBF0D7D" w14:textId="77777777" w:rsidR="00B13809" w:rsidRDefault="00B13809" w:rsidP="00B13809">
      <w:pPr>
        <w:rPr>
          <w:rFonts w:ascii="Calibri" w:hAnsi="Calibri" w:cs="Arial"/>
        </w:rPr>
      </w:pPr>
    </w:p>
    <w:p w14:paraId="02B3B38B" w14:textId="77777777" w:rsidR="00A672AD" w:rsidRPr="00676527" w:rsidRDefault="00621B0F" w:rsidP="00A672AD">
      <w:pPr>
        <w:numPr>
          <w:ilvl w:val="0"/>
          <w:numId w:val="8"/>
        </w:numPr>
        <w:rPr>
          <w:rFonts w:ascii="Calibri" w:hAnsi="Calibri" w:cs="Arial"/>
        </w:rPr>
      </w:pPr>
      <w:r w:rsidRPr="31522B7C">
        <w:rPr>
          <w:rFonts w:ascii="Calibri" w:hAnsi="Calibri" w:cs="Arial"/>
        </w:rPr>
        <w:t xml:space="preserve">In investing </w:t>
      </w:r>
      <w:r w:rsidR="00E60F64" w:rsidRPr="31522B7C">
        <w:rPr>
          <w:rFonts w:ascii="Calibri" w:hAnsi="Calibri" w:cs="Arial"/>
        </w:rPr>
        <w:t>in the i</w:t>
      </w:r>
      <w:r w:rsidRPr="31522B7C">
        <w:rPr>
          <w:rFonts w:ascii="Calibri" w:hAnsi="Calibri" w:cs="Arial"/>
        </w:rPr>
        <w:t>nfrastructure of the area, CIL is expected to have a positive economic effect on development in the medium to long term.</w:t>
      </w:r>
      <w:r w:rsidR="00EF357F" w:rsidRPr="31522B7C">
        <w:rPr>
          <w:rFonts w:ascii="Calibri" w:hAnsi="Calibri" w:cs="Arial"/>
        </w:rPr>
        <w:t xml:space="preserve"> </w:t>
      </w:r>
    </w:p>
    <w:p w14:paraId="6B62F1B3" w14:textId="77777777" w:rsidR="00A672AD" w:rsidRPr="00676527" w:rsidRDefault="00A672AD" w:rsidP="00A672AD">
      <w:pPr>
        <w:pStyle w:val="ListParagraph"/>
        <w:rPr>
          <w:rFonts w:ascii="Calibri" w:hAnsi="Calibri" w:cs="Arial"/>
        </w:rPr>
      </w:pPr>
    </w:p>
    <w:p w14:paraId="48A52C4C" w14:textId="36691B9F" w:rsidR="008F1E6C" w:rsidRDefault="00A672AD" w:rsidP="00A672AD">
      <w:pPr>
        <w:numPr>
          <w:ilvl w:val="0"/>
          <w:numId w:val="8"/>
        </w:numPr>
        <w:rPr>
          <w:rFonts w:ascii="Calibri" w:hAnsi="Calibri" w:cs="Arial"/>
        </w:rPr>
      </w:pPr>
      <w:r w:rsidRPr="31522B7C">
        <w:rPr>
          <w:rFonts w:ascii="Calibri" w:hAnsi="Calibri" w:cs="Arial"/>
        </w:rPr>
        <w:t>The City Council must se</w:t>
      </w:r>
      <w:r w:rsidR="00DB3425" w:rsidRPr="31522B7C">
        <w:rPr>
          <w:rFonts w:ascii="Calibri" w:hAnsi="Calibri" w:cs="Arial"/>
        </w:rPr>
        <w:t xml:space="preserve">t </w:t>
      </w:r>
      <w:r w:rsidRPr="31522B7C">
        <w:rPr>
          <w:rFonts w:ascii="Calibri" w:hAnsi="Calibri" w:cs="Arial"/>
        </w:rPr>
        <w:t xml:space="preserve">CIL rates in a Charging Schedule and can implement these, </w:t>
      </w:r>
      <w:r w:rsidR="0050279E" w:rsidRPr="31522B7C">
        <w:rPr>
          <w:rFonts w:ascii="Calibri" w:hAnsi="Calibri" w:cs="Arial"/>
        </w:rPr>
        <w:t>after taking</w:t>
      </w:r>
      <w:r w:rsidR="005D40AF" w:rsidRPr="31522B7C">
        <w:rPr>
          <w:rFonts w:ascii="Calibri" w:hAnsi="Calibri" w:cs="Arial"/>
        </w:rPr>
        <w:t xml:space="preserve"> a</w:t>
      </w:r>
      <w:r w:rsidRPr="31522B7C">
        <w:rPr>
          <w:rFonts w:ascii="Calibri" w:hAnsi="Calibri" w:cs="Arial"/>
        </w:rPr>
        <w:t xml:space="preserve"> consultation and an Examination in Public followed by adoption.</w:t>
      </w:r>
      <w:r w:rsidR="008F1E6C" w:rsidRPr="31522B7C">
        <w:rPr>
          <w:rFonts w:ascii="Calibri" w:hAnsi="Calibri" w:cs="Arial"/>
        </w:rPr>
        <w:t xml:space="preserve"> Following the 2019 amendments to the CIL regulations, </w:t>
      </w:r>
      <w:r w:rsidR="00932FD3" w:rsidRPr="31522B7C">
        <w:rPr>
          <w:rFonts w:ascii="Calibri" w:hAnsi="Calibri" w:cs="Arial"/>
        </w:rPr>
        <w:t xml:space="preserve">the requirement for a preliminary draft charging schedule and consultation has been removed. </w:t>
      </w:r>
    </w:p>
    <w:p w14:paraId="03A138B4" w14:textId="77777777" w:rsidR="008F1E6C" w:rsidRDefault="008F1E6C" w:rsidP="008F1E6C">
      <w:pPr>
        <w:pStyle w:val="ListParagraph"/>
        <w:rPr>
          <w:rFonts w:ascii="Calibri" w:hAnsi="Calibri" w:cs="Arial"/>
        </w:rPr>
      </w:pPr>
    </w:p>
    <w:p w14:paraId="206CB6DC" w14:textId="234E4980" w:rsidR="00A672AD" w:rsidRPr="00676527" w:rsidRDefault="00A672AD" w:rsidP="00A672AD">
      <w:pPr>
        <w:numPr>
          <w:ilvl w:val="0"/>
          <w:numId w:val="8"/>
        </w:numPr>
        <w:rPr>
          <w:rFonts w:ascii="Calibri" w:hAnsi="Calibri" w:cs="Arial"/>
        </w:rPr>
      </w:pPr>
      <w:r w:rsidRPr="31522B7C">
        <w:rPr>
          <w:rFonts w:ascii="Calibri" w:hAnsi="Calibri" w:cs="Arial"/>
        </w:rPr>
        <w:t>Regulation 14</w:t>
      </w:r>
      <w:r w:rsidR="00E44FE4" w:rsidRPr="31522B7C">
        <w:rPr>
          <w:rFonts w:ascii="Calibri" w:hAnsi="Calibri" w:cs="Arial"/>
        </w:rPr>
        <w:t xml:space="preserve"> of the CIL regulations (as amended)</w:t>
      </w:r>
      <w:r w:rsidRPr="31522B7C">
        <w:rPr>
          <w:rFonts w:ascii="Calibri" w:hAnsi="Calibri" w:cs="Arial"/>
        </w:rPr>
        <w:t xml:space="preserve"> </w:t>
      </w:r>
      <w:r w:rsidR="00E44FE4" w:rsidRPr="31522B7C">
        <w:rPr>
          <w:rFonts w:ascii="Calibri" w:hAnsi="Calibri" w:cs="Arial"/>
        </w:rPr>
        <w:t>state</w:t>
      </w:r>
      <w:r w:rsidRPr="31522B7C">
        <w:rPr>
          <w:rFonts w:ascii="Calibri" w:hAnsi="Calibri" w:cs="Arial"/>
        </w:rPr>
        <w:t xml:space="preserve"> that when setting CIL rates, the Council must strike an appropriate balance between the desirability to fund infrastructure through CIL and the potential effect (taken as a whole) of the levy on the economic viability of development in the area where CIL charges apply. When considering infrastructure costs, the Council needs to estimate the cost of infrastructure to support development and take into account other sources of funding.</w:t>
      </w:r>
    </w:p>
    <w:p w14:paraId="02F2C34E" w14:textId="77777777" w:rsidR="00A672AD" w:rsidRPr="00676527" w:rsidRDefault="00A672AD" w:rsidP="00A672AD">
      <w:pPr>
        <w:pStyle w:val="ListParagraph"/>
        <w:rPr>
          <w:rFonts w:ascii="Calibri" w:hAnsi="Calibri" w:cs="Arial"/>
        </w:rPr>
      </w:pPr>
    </w:p>
    <w:p w14:paraId="680A4E5D" w14:textId="18295733" w:rsidR="00A672AD" w:rsidRPr="000664AC" w:rsidRDefault="00A672AD" w:rsidP="00FC37CD">
      <w:pPr>
        <w:ind w:firstLine="567"/>
        <w:jc w:val="both"/>
        <w:rPr>
          <w:rFonts w:ascii="Calibri" w:hAnsi="Calibri" w:cs="Arial"/>
          <w:b/>
          <w:bCs/>
        </w:rPr>
      </w:pPr>
      <w:r w:rsidRPr="000664AC">
        <w:rPr>
          <w:rFonts w:ascii="Calibri" w:hAnsi="Calibri" w:cs="Arial"/>
          <w:b/>
          <w:bCs/>
        </w:rPr>
        <w:t>CIL Regulations 2010 (as amended), Part 3, Regulation 14:</w:t>
      </w:r>
    </w:p>
    <w:p w14:paraId="2E09B65D" w14:textId="77777777" w:rsidR="00A672AD" w:rsidRPr="00A672AD" w:rsidRDefault="00A672AD" w:rsidP="00DB3425">
      <w:pPr>
        <w:ind w:left="567"/>
        <w:jc w:val="both"/>
        <w:rPr>
          <w:rFonts w:ascii="Calibri" w:hAnsi="Calibri" w:cs="Arial"/>
          <w:i/>
        </w:rPr>
      </w:pPr>
      <w:r w:rsidRPr="00A672AD">
        <w:rPr>
          <w:rFonts w:ascii="Calibri" w:hAnsi="Calibri" w:cs="Arial"/>
          <w:i/>
        </w:rPr>
        <w:t>‘14.—(1) In setting rates (including differential rates) in a charging schedule, a charging authority must strike an appropriate balance between—</w:t>
      </w:r>
    </w:p>
    <w:p w14:paraId="69D1DAB9" w14:textId="77777777" w:rsidR="00A672AD" w:rsidRPr="00A672AD" w:rsidRDefault="00A672AD" w:rsidP="00DB3425">
      <w:pPr>
        <w:ind w:left="567"/>
        <w:jc w:val="both"/>
        <w:rPr>
          <w:rFonts w:ascii="Calibri" w:hAnsi="Calibri" w:cs="Arial"/>
          <w:i/>
        </w:rPr>
      </w:pPr>
      <w:r w:rsidRPr="00A672AD">
        <w:rPr>
          <w:rFonts w:ascii="Calibri" w:hAnsi="Calibri" w:cs="Arial"/>
          <w:i/>
        </w:rPr>
        <w:t>(a) the desirability of funding from CIL (in whole or in part) the actual and expected estimated total cost of infrastructure required to support the development of its area, taking into account other actual and expected sources of funding; and</w:t>
      </w:r>
    </w:p>
    <w:p w14:paraId="5A6673D4" w14:textId="77777777" w:rsidR="00A672AD" w:rsidRPr="00A672AD" w:rsidRDefault="00A672AD" w:rsidP="00DB3425">
      <w:pPr>
        <w:ind w:left="567"/>
        <w:jc w:val="both"/>
        <w:rPr>
          <w:rFonts w:ascii="Calibri" w:hAnsi="Calibri" w:cs="Arial"/>
          <w:i/>
        </w:rPr>
      </w:pPr>
      <w:r w:rsidRPr="00A672AD">
        <w:rPr>
          <w:rFonts w:ascii="Calibri" w:hAnsi="Calibri" w:cs="Arial"/>
          <w:i/>
        </w:rPr>
        <w:t>(b) the potential effects (taken as a whole) of the imposition of CIL on the economic viability of development across its area.</w:t>
      </w:r>
    </w:p>
    <w:p w14:paraId="6C795EB7" w14:textId="77777777" w:rsidR="00A672AD" w:rsidRPr="00A672AD" w:rsidRDefault="00A672AD" w:rsidP="00DB3425">
      <w:pPr>
        <w:ind w:left="567"/>
        <w:jc w:val="both"/>
        <w:rPr>
          <w:rFonts w:ascii="Calibri" w:hAnsi="Calibri" w:cs="Arial"/>
          <w:i/>
        </w:rPr>
      </w:pPr>
      <w:r w:rsidRPr="00A672AD">
        <w:rPr>
          <w:rFonts w:ascii="Calibri" w:hAnsi="Calibri" w:cs="Arial"/>
          <w:i/>
        </w:rPr>
        <w:t>(2) In setting rates in a charging schedule, a charging authority may also have regard to actual and expected administrative expenses in connection with CIL to the extent that those expenses can be funded from CIL in accordance with regulation 61…’</w:t>
      </w:r>
    </w:p>
    <w:p w14:paraId="19219836" w14:textId="77777777" w:rsidR="00A672AD" w:rsidRPr="00676527" w:rsidRDefault="00A672AD" w:rsidP="00A672AD">
      <w:pPr>
        <w:pStyle w:val="ListParagraph"/>
        <w:rPr>
          <w:rFonts w:ascii="Calibri" w:hAnsi="Calibri" w:cs="Arial"/>
        </w:rPr>
      </w:pPr>
    </w:p>
    <w:p w14:paraId="346228F7" w14:textId="77777777" w:rsidR="00951C9A" w:rsidRPr="00676527" w:rsidRDefault="00A672AD" w:rsidP="00951C9A">
      <w:pPr>
        <w:numPr>
          <w:ilvl w:val="0"/>
          <w:numId w:val="8"/>
        </w:numPr>
        <w:rPr>
          <w:rFonts w:ascii="Calibri" w:hAnsi="Calibri" w:cs="Arial"/>
        </w:rPr>
      </w:pPr>
      <w:r w:rsidRPr="31522B7C">
        <w:rPr>
          <w:rFonts w:ascii="Calibri" w:hAnsi="Calibri" w:cs="Arial"/>
        </w:rPr>
        <w:t xml:space="preserve">Regulation 13 of the CIL Regulations 2010 (as amended) makes provision for the setting of differential rates for different geographical areas, different development types/uses, </w:t>
      </w:r>
      <w:r w:rsidRPr="31522B7C">
        <w:rPr>
          <w:rFonts w:ascii="Calibri" w:hAnsi="Calibri" w:cs="Arial"/>
        </w:rPr>
        <w:lastRenderedPageBreak/>
        <w:t>and development size or a combination of them. Any differential rate should be justified by economic viability evidence.</w:t>
      </w:r>
    </w:p>
    <w:p w14:paraId="296FEF7D" w14:textId="77777777" w:rsidR="00951C9A" w:rsidRPr="00676527" w:rsidRDefault="00951C9A" w:rsidP="00951C9A">
      <w:pPr>
        <w:ind w:left="360"/>
        <w:rPr>
          <w:rFonts w:ascii="Calibri" w:hAnsi="Calibri" w:cs="Arial"/>
        </w:rPr>
      </w:pPr>
    </w:p>
    <w:p w14:paraId="2FB839D7" w14:textId="52BC493C" w:rsidR="00951C9A" w:rsidRPr="00676527" w:rsidRDefault="49483C75" w:rsidP="00951C9A">
      <w:pPr>
        <w:numPr>
          <w:ilvl w:val="0"/>
          <w:numId w:val="8"/>
        </w:numPr>
        <w:rPr>
          <w:rFonts w:ascii="Calibri" w:hAnsi="Calibri" w:cs="Arial"/>
        </w:rPr>
      </w:pPr>
      <w:r w:rsidRPr="31522B7C">
        <w:rPr>
          <w:rFonts w:ascii="Calibri" w:hAnsi="Calibri" w:cs="Arial"/>
        </w:rPr>
        <w:t>The term ‘taken as a whole’ indicates that economic viability evidence is used to show that CIL rates can be borne by m</w:t>
      </w:r>
      <w:r w:rsidR="4ECBE341" w:rsidRPr="31522B7C">
        <w:rPr>
          <w:rFonts w:ascii="Calibri" w:hAnsi="Calibri" w:cs="Arial"/>
        </w:rPr>
        <w:t xml:space="preserve">ost development across Oxford. </w:t>
      </w:r>
      <w:r w:rsidRPr="31522B7C">
        <w:rPr>
          <w:rFonts w:ascii="Calibri" w:hAnsi="Calibri" w:cs="Arial"/>
        </w:rPr>
        <w:t>It does not mean that CIL rates can be borne by each and every development.</w:t>
      </w:r>
      <w:r w:rsidR="4ECBE341" w:rsidRPr="31522B7C">
        <w:rPr>
          <w:rFonts w:ascii="Calibri" w:hAnsi="Calibri" w:cs="Arial"/>
        </w:rPr>
        <w:t xml:space="preserve"> The City Council has used evidence in the </w:t>
      </w:r>
      <w:r w:rsidR="4387B4E7" w:rsidRPr="31522B7C">
        <w:rPr>
          <w:rFonts w:ascii="Calibri" w:hAnsi="Calibri" w:cs="Arial"/>
        </w:rPr>
        <w:t>Oxford City Council: Local Plan Viability Assessment</w:t>
      </w:r>
      <w:r w:rsidR="4ECBE341" w:rsidRPr="31522B7C">
        <w:rPr>
          <w:rFonts w:ascii="Calibri" w:hAnsi="Calibri" w:cs="Arial"/>
        </w:rPr>
        <w:t xml:space="preserve"> to inform appropriate CIL rates. </w:t>
      </w:r>
    </w:p>
    <w:p w14:paraId="7194DBDC" w14:textId="77777777" w:rsidR="00951C9A" w:rsidRPr="00676527" w:rsidRDefault="00951C9A" w:rsidP="00951C9A">
      <w:pPr>
        <w:pStyle w:val="ListParagraph"/>
        <w:rPr>
          <w:rFonts w:ascii="Calibri" w:hAnsi="Calibri" w:cs="Arial"/>
        </w:rPr>
      </w:pPr>
    </w:p>
    <w:p w14:paraId="772CD448" w14:textId="77777777" w:rsidR="00951C9A" w:rsidRPr="00676527" w:rsidRDefault="00951C9A" w:rsidP="00951C9A">
      <w:pPr>
        <w:numPr>
          <w:ilvl w:val="0"/>
          <w:numId w:val="8"/>
        </w:numPr>
        <w:rPr>
          <w:rFonts w:ascii="Calibri" w:hAnsi="Calibri" w:cs="Arial"/>
        </w:rPr>
      </w:pPr>
      <w:r w:rsidRPr="31522B7C">
        <w:rPr>
          <w:rFonts w:ascii="Calibri" w:hAnsi="Calibri" w:cs="Arial"/>
        </w:rPr>
        <w:t>Infrastructure and economic viability evidence supporting the Draft Charging Schedule illustrates that an appropriate balance between funding infrastructure and economic viability has been sought.</w:t>
      </w:r>
    </w:p>
    <w:p w14:paraId="769D0D3C" w14:textId="77777777" w:rsidR="00296F18" w:rsidRPr="00676527" w:rsidRDefault="00296F18" w:rsidP="00B7765B">
      <w:pPr>
        <w:rPr>
          <w:rFonts w:ascii="Calibri" w:hAnsi="Calibri" w:cs="Arial"/>
          <w:b/>
          <w:color w:val="0000FF"/>
        </w:rPr>
      </w:pPr>
    </w:p>
    <w:p w14:paraId="7C67F3AA" w14:textId="5529959F" w:rsidR="00621B0F" w:rsidRPr="00861F56" w:rsidRDefault="00912BDC" w:rsidP="00621B0F">
      <w:pPr>
        <w:rPr>
          <w:rFonts w:ascii="Calibri" w:hAnsi="Calibri" w:cs="Arial"/>
          <w:b/>
          <w:color w:val="007373"/>
        </w:rPr>
      </w:pPr>
      <w:r>
        <w:rPr>
          <w:rFonts w:ascii="Calibri" w:hAnsi="Calibri" w:cs="Arial"/>
          <w:b/>
          <w:color w:val="007373"/>
        </w:rPr>
        <w:t xml:space="preserve">Viability Evidence and </w:t>
      </w:r>
      <w:r w:rsidR="00951C9A" w:rsidRPr="00861F56">
        <w:rPr>
          <w:rFonts w:ascii="Calibri" w:hAnsi="Calibri" w:cs="Arial"/>
          <w:b/>
          <w:color w:val="007373"/>
        </w:rPr>
        <w:t xml:space="preserve">Proposed CIL </w:t>
      </w:r>
      <w:r w:rsidR="00621B0F" w:rsidRPr="00861F56">
        <w:rPr>
          <w:rFonts w:ascii="Calibri" w:hAnsi="Calibri" w:cs="Arial"/>
          <w:b/>
          <w:color w:val="007373"/>
        </w:rPr>
        <w:t>Charg</w:t>
      </w:r>
      <w:r w:rsidR="00951C9A" w:rsidRPr="00861F56">
        <w:rPr>
          <w:rFonts w:ascii="Calibri" w:hAnsi="Calibri" w:cs="Arial"/>
          <w:b/>
          <w:color w:val="007373"/>
        </w:rPr>
        <w:t>es</w:t>
      </w:r>
      <w:r w:rsidR="00037D83" w:rsidRPr="00861F56">
        <w:rPr>
          <w:rFonts w:ascii="Calibri" w:hAnsi="Calibri" w:cs="Arial"/>
          <w:b/>
          <w:color w:val="007373"/>
        </w:rPr>
        <w:t xml:space="preserve"> </w:t>
      </w:r>
    </w:p>
    <w:p w14:paraId="3A454B74" w14:textId="2F9CEF9B" w:rsidR="0089723C" w:rsidRDefault="7EF85065" w:rsidP="4A4F46FD">
      <w:pPr>
        <w:pStyle w:val="ListParagraph"/>
        <w:numPr>
          <w:ilvl w:val="0"/>
          <w:numId w:val="8"/>
        </w:numPr>
        <w:contextualSpacing/>
        <w:jc w:val="both"/>
        <w:rPr>
          <w:rFonts w:asciiTheme="minorHAnsi" w:hAnsiTheme="minorHAnsi" w:cs="Arial"/>
        </w:rPr>
      </w:pPr>
      <w:r w:rsidRPr="4A4F46FD">
        <w:rPr>
          <w:rFonts w:asciiTheme="minorHAnsi" w:hAnsiTheme="minorHAnsi" w:cs="Arial"/>
        </w:rPr>
        <w:t xml:space="preserve">The </w:t>
      </w:r>
      <w:r w:rsidR="5673A558" w:rsidRPr="4A4F46FD">
        <w:rPr>
          <w:rFonts w:ascii="Calibri" w:hAnsi="Calibri" w:cs="Arial"/>
        </w:rPr>
        <w:t>Oxford City Council: Local Plan Viability Assessment</w:t>
      </w:r>
      <w:r w:rsidRPr="4A4F46FD">
        <w:rPr>
          <w:rFonts w:asciiTheme="minorHAnsi" w:hAnsiTheme="minorHAnsi" w:cs="Arial"/>
        </w:rPr>
        <w:t xml:space="preserve"> assesses the</w:t>
      </w:r>
      <w:r w:rsidR="657AF8E5" w:rsidRPr="4A4F46FD">
        <w:rPr>
          <w:rFonts w:asciiTheme="minorHAnsi" w:hAnsiTheme="minorHAnsi" w:cs="Arial"/>
        </w:rPr>
        <w:t xml:space="preserve"> economic</w:t>
      </w:r>
      <w:r w:rsidRPr="4A4F46FD">
        <w:rPr>
          <w:rFonts w:asciiTheme="minorHAnsi" w:hAnsiTheme="minorHAnsi" w:cs="Arial"/>
        </w:rPr>
        <w:t xml:space="preserve"> viability of development in Oxford. </w:t>
      </w:r>
      <w:r w:rsidR="76949690" w:rsidRPr="4A4F46FD">
        <w:rPr>
          <w:rFonts w:asciiTheme="minorHAnsi" w:hAnsiTheme="minorHAnsi" w:cs="Arial"/>
        </w:rPr>
        <w:t>To consider setting CIL rates</w:t>
      </w:r>
      <w:r w:rsidR="4AD5126E" w:rsidRPr="4A4F46FD">
        <w:rPr>
          <w:rFonts w:asciiTheme="minorHAnsi" w:hAnsiTheme="minorHAnsi" w:cs="Arial"/>
        </w:rPr>
        <w:t xml:space="preserve"> for different types of development</w:t>
      </w:r>
      <w:r w:rsidR="76949690" w:rsidRPr="4A4F46FD">
        <w:rPr>
          <w:rFonts w:asciiTheme="minorHAnsi" w:hAnsiTheme="minorHAnsi" w:cs="Arial"/>
        </w:rPr>
        <w:t>, t</w:t>
      </w:r>
      <w:r w:rsidRPr="4A4F46FD">
        <w:rPr>
          <w:rFonts w:asciiTheme="minorHAnsi" w:hAnsiTheme="minorHAnsi" w:cs="Arial"/>
        </w:rPr>
        <w:t>he Study</w:t>
      </w:r>
      <w:r w:rsidR="5FC44293" w:rsidRPr="4A4F46FD">
        <w:rPr>
          <w:rFonts w:asciiTheme="minorHAnsi" w:hAnsiTheme="minorHAnsi" w:cs="Arial"/>
        </w:rPr>
        <w:t xml:space="preserve"> considers the</w:t>
      </w:r>
      <w:r w:rsidR="76AEA5DE" w:rsidRPr="4A4F46FD">
        <w:rPr>
          <w:rFonts w:asciiTheme="minorHAnsi" w:hAnsiTheme="minorHAnsi" w:cs="Arial"/>
        </w:rPr>
        <w:t xml:space="preserve"> cumulative</w:t>
      </w:r>
      <w:r w:rsidR="5FC44293" w:rsidRPr="4A4F46FD">
        <w:rPr>
          <w:rFonts w:asciiTheme="minorHAnsi" w:hAnsiTheme="minorHAnsi" w:cs="Arial"/>
        </w:rPr>
        <w:t xml:space="preserve"> application of policies </w:t>
      </w:r>
      <w:r w:rsidR="76AEA5DE" w:rsidRPr="4A4F46FD">
        <w:rPr>
          <w:rFonts w:asciiTheme="minorHAnsi" w:hAnsiTheme="minorHAnsi" w:cs="Arial"/>
        </w:rPr>
        <w:t>in</w:t>
      </w:r>
      <w:r w:rsidR="5FC44293" w:rsidRPr="4A4F46FD">
        <w:rPr>
          <w:rFonts w:asciiTheme="minorHAnsi" w:hAnsiTheme="minorHAnsi" w:cs="Arial"/>
        </w:rPr>
        <w:t xml:space="preserve"> the Local Plan 2040</w:t>
      </w:r>
      <w:r w:rsidR="2EC91F57" w:rsidRPr="4A4F46FD">
        <w:rPr>
          <w:rFonts w:asciiTheme="minorHAnsi" w:hAnsiTheme="minorHAnsi" w:cs="Arial"/>
        </w:rPr>
        <w:t xml:space="preserve"> on </w:t>
      </w:r>
      <w:r w:rsidR="2C5D8D9B" w:rsidRPr="4A4F46FD">
        <w:rPr>
          <w:rFonts w:asciiTheme="minorHAnsi" w:hAnsiTheme="minorHAnsi" w:cs="Arial"/>
        </w:rPr>
        <w:t>different</w:t>
      </w:r>
      <w:r w:rsidR="2EC91F57" w:rsidRPr="4A4F46FD">
        <w:rPr>
          <w:rFonts w:asciiTheme="minorHAnsi" w:hAnsiTheme="minorHAnsi" w:cs="Arial"/>
        </w:rPr>
        <w:t xml:space="preserve"> development typ</w:t>
      </w:r>
      <w:r w:rsidR="2C5D8D9B" w:rsidRPr="4A4F46FD">
        <w:rPr>
          <w:rFonts w:asciiTheme="minorHAnsi" w:hAnsiTheme="minorHAnsi" w:cs="Arial"/>
        </w:rPr>
        <w:t>ologies</w:t>
      </w:r>
      <w:r w:rsidR="5FC44293" w:rsidRPr="4A4F46FD">
        <w:rPr>
          <w:rFonts w:asciiTheme="minorHAnsi" w:hAnsiTheme="minorHAnsi" w:cs="Arial"/>
        </w:rPr>
        <w:t xml:space="preserve"> and then considers </w:t>
      </w:r>
      <w:r w:rsidRPr="4A4F46FD">
        <w:rPr>
          <w:rFonts w:asciiTheme="minorHAnsi" w:hAnsiTheme="minorHAnsi" w:cs="Arial"/>
        </w:rPr>
        <w:t xml:space="preserve">the ability of </w:t>
      </w:r>
      <w:r w:rsidR="304DEFE8" w:rsidRPr="4A4F46FD">
        <w:rPr>
          <w:rFonts w:asciiTheme="minorHAnsi" w:hAnsiTheme="minorHAnsi" w:cs="Arial"/>
        </w:rPr>
        <w:t xml:space="preserve">each </w:t>
      </w:r>
      <w:r w:rsidRPr="4A4F46FD">
        <w:rPr>
          <w:rFonts w:asciiTheme="minorHAnsi" w:hAnsiTheme="minorHAnsi" w:cs="Arial"/>
        </w:rPr>
        <w:t>development</w:t>
      </w:r>
      <w:r w:rsidR="304DEFE8" w:rsidRPr="4A4F46FD">
        <w:rPr>
          <w:rFonts w:asciiTheme="minorHAnsi" w:hAnsiTheme="minorHAnsi" w:cs="Arial"/>
        </w:rPr>
        <w:t xml:space="preserve"> type</w:t>
      </w:r>
      <w:r w:rsidRPr="4A4F46FD">
        <w:rPr>
          <w:rFonts w:asciiTheme="minorHAnsi" w:hAnsiTheme="minorHAnsi" w:cs="Arial"/>
        </w:rPr>
        <w:t xml:space="preserve"> to support</w:t>
      </w:r>
      <w:r w:rsidR="3DC02E2E" w:rsidRPr="4A4F46FD">
        <w:rPr>
          <w:rFonts w:asciiTheme="minorHAnsi" w:hAnsiTheme="minorHAnsi" w:cs="Arial"/>
        </w:rPr>
        <w:t xml:space="preserve"> </w:t>
      </w:r>
      <w:r w:rsidR="4A23B420" w:rsidRPr="4A4F46FD">
        <w:rPr>
          <w:rFonts w:asciiTheme="minorHAnsi" w:hAnsiTheme="minorHAnsi" w:cs="Arial"/>
        </w:rPr>
        <w:t>additional</w:t>
      </w:r>
      <w:r w:rsidR="3DC02E2E" w:rsidRPr="4A4F46FD">
        <w:rPr>
          <w:rFonts w:asciiTheme="minorHAnsi" w:hAnsiTheme="minorHAnsi" w:cs="Arial"/>
        </w:rPr>
        <w:t xml:space="preserve"> CIL rate</w:t>
      </w:r>
      <w:r w:rsidR="6B5DA5C7" w:rsidRPr="4A4F46FD">
        <w:rPr>
          <w:rFonts w:asciiTheme="minorHAnsi" w:hAnsiTheme="minorHAnsi" w:cs="Arial"/>
        </w:rPr>
        <w:t>s</w:t>
      </w:r>
      <w:r w:rsidRPr="4A4F46FD">
        <w:rPr>
          <w:rFonts w:asciiTheme="minorHAnsi" w:hAnsiTheme="minorHAnsi" w:cs="Arial"/>
        </w:rPr>
        <w:t>.</w:t>
      </w:r>
    </w:p>
    <w:p w14:paraId="607FE935" w14:textId="58A5A085" w:rsidR="0089723C" w:rsidRDefault="7EF85065" w:rsidP="4A4F46FD">
      <w:pPr>
        <w:contextualSpacing/>
        <w:jc w:val="both"/>
        <w:rPr>
          <w:rFonts w:asciiTheme="minorHAnsi" w:hAnsiTheme="minorHAnsi" w:cs="Arial"/>
        </w:rPr>
      </w:pPr>
      <w:r w:rsidRPr="4A4F46FD">
        <w:rPr>
          <w:rFonts w:asciiTheme="minorHAnsi" w:hAnsiTheme="minorHAnsi" w:cs="Arial"/>
        </w:rPr>
        <w:t xml:space="preserve"> </w:t>
      </w:r>
    </w:p>
    <w:p w14:paraId="7E810725" w14:textId="5826284F" w:rsidR="3B6CAC50" w:rsidRDefault="3B6CAC50" w:rsidP="334A3C2F">
      <w:pPr>
        <w:pStyle w:val="ListParagraph"/>
        <w:numPr>
          <w:ilvl w:val="0"/>
          <w:numId w:val="8"/>
        </w:numPr>
        <w:spacing w:line="259" w:lineRule="auto"/>
        <w:contextualSpacing/>
        <w:jc w:val="both"/>
        <w:rPr>
          <w:rFonts w:ascii="Calibri" w:eastAsia="Calibri" w:hAnsi="Calibri" w:cs="Calibri"/>
          <w:color w:val="000000" w:themeColor="text1"/>
          <w:lang w:val="en-US"/>
        </w:rPr>
      </w:pPr>
      <w:r w:rsidRPr="334A3C2F">
        <w:rPr>
          <w:rFonts w:ascii="Calibri" w:eastAsia="Calibri" w:hAnsi="Calibri" w:cs="Calibri"/>
          <w:color w:val="000000" w:themeColor="text1"/>
        </w:rPr>
        <w:t>Following consultation, an additional addendum note was produced to consider comments made at consultation of the partial review of the charging schedule.</w:t>
      </w:r>
    </w:p>
    <w:p w14:paraId="27E7CE99" w14:textId="5ACF1D3E" w:rsidR="334A3C2F" w:rsidRDefault="334A3C2F" w:rsidP="4A4F46FD">
      <w:pPr>
        <w:spacing w:line="259" w:lineRule="auto"/>
        <w:contextualSpacing/>
        <w:jc w:val="both"/>
        <w:rPr>
          <w:rFonts w:ascii="Calibri" w:eastAsia="Calibri" w:hAnsi="Calibri" w:cs="Calibri"/>
          <w:color w:val="000000" w:themeColor="text1"/>
          <w:lang w:val="en-US"/>
        </w:rPr>
      </w:pPr>
    </w:p>
    <w:p w14:paraId="13226723" w14:textId="18A8FC54" w:rsidR="3B6CAC50" w:rsidRDefault="3B6CAC50" w:rsidP="334A3C2F">
      <w:pPr>
        <w:pStyle w:val="ListParagraph"/>
        <w:numPr>
          <w:ilvl w:val="0"/>
          <w:numId w:val="8"/>
        </w:numPr>
        <w:spacing w:line="279" w:lineRule="auto"/>
        <w:contextualSpacing/>
        <w:jc w:val="both"/>
        <w:rPr>
          <w:rFonts w:ascii="Calibri" w:eastAsia="Calibri" w:hAnsi="Calibri" w:cs="Calibri"/>
          <w:color w:val="000000" w:themeColor="text1"/>
          <w:lang w:val="en-US"/>
        </w:rPr>
      </w:pPr>
      <w:r w:rsidRPr="334A3C2F">
        <w:rPr>
          <w:rFonts w:ascii="Calibri" w:eastAsia="Calibri" w:hAnsi="Calibri" w:cs="Calibri"/>
          <w:color w:val="000000" w:themeColor="text1"/>
        </w:rPr>
        <w:t>The evidence gathered in the original and supplementary viability work supports an increase in Class E – Office and R&amp;D rates, demonstrating from site-specific testing that surpluses from key employment sites can accommodate an increase in this rate.</w:t>
      </w:r>
    </w:p>
    <w:p w14:paraId="3FBBA331" w14:textId="184D9FD8" w:rsidR="334A3C2F" w:rsidRDefault="334A3C2F" w:rsidP="4A4F46FD">
      <w:pPr>
        <w:spacing w:line="279" w:lineRule="auto"/>
        <w:contextualSpacing/>
        <w:jc w:val="both"/>
        <w:rPr>
          <w:rFonts w:ascii="Calibri" w:eastAsia="Calibri" w:hAnsi="Calibri" w:cs="Calibri"/>
          <w:color w:val="000000" w:themeColor="text1"/>
          <w:lang w:val="en-US"/>
        </w:rPr>
      </w:pPr>
    </w:p>
    <w:p w14:paraId="2FD3BC36" w14:textId="290A954B" w:rsidR="3B6CAC50" w:rsidRDefault="3B6CAC50" w:rsidP="334A3C2F">
      <w:pPr>
        <w:pStyle w:val="ListParagraph"/>
        <w:numPr>
          <w:ilvl w:val="0"/>
          <w:numId w:val="8"/>
        </w:numPr>
        <w:spacing w:line="259" w:lineRule="auto"/>
        <w:contextualSpacing/>
        <w:jc w:val="both"/>
        <w:rPr>
          <w:rFonts w:ascii="Calibri" w:eastAsia="Calibri" w:hAnsi="Calibri" w:cs="Calibri"/>
          <w:color w:val="000000" w:themeColor="text1"/>
          <w:lang w:val="en-US"/>
        </w:rPr>
      </w:pPr>
      <w:r w:rsidRPr="334A3C2F">
        <w:rPr>
          <w:rFonts w:ascii="Calibri" w:eastAsia="Calibri" w:hAnsi="Calibri" w:cs="Calibri"/>
          <w:color w:val="000000" w:themeColor="text1"/>
        </w:rPr>
        <w:t>Although original viability testing showed that Class B developments can accommodate an increased CIL rate, following the approval of a recent major industrial development, there is currently no known Class B floorspace anticipated to come forth, meaning that additional site-specific testing could not be carried out.</w:t>
      </w:r>
    </w:p>
    <w:p w14:paraId="4A59D469" w14:textId="35698089" w:rsidR="334A3C2F" w:rsidRDefault="334A3C2F" w:rsidP="4A4F46FD">
      <w:pPr>
        <w:spacing w:line="259" w:lineRule="auto"/>
        <w:contextualSpacing/>
        <w:jc w:val="both"/>
        <w:rPr>
          <w:rFonts w:ascii="Calibri" w:eastAsia="Calibri" w:hAnsi="Calibri" w:cs="Calibri"/>
          <w:color w:val="000000" w:themeColor="text1"/>
          <w:lang w:val="en-US"/>
        </w:rPr>
      </w:pPr>
    </w:p>
    <w:p w14:paraId="0A102DF2" w14:textId="4FD777E8" w:rsidR="3B6CAC50" w:rsidRDefault="3B6CAC50" w:rsidP="334A3C2F">
      <w:pPr>
        <w:pStyle w:val="ListParagraph"/>
        <w:numPr>
          <w:ilvl w:val="0"/>
          <w:numId w:val="8"/>
        </w:numPr>
        <w:spacing w:line="259" w:lineRule="auto"/>
        <w:contextualSpacing/>
        <w:jc w:val="both"/>
        <w:rPr>
          <w:rFonts w:ascii="Calibri" w:eastAsia="Calibri" w:hAnsi="Calibri" w:cs="Calibri"/>
          <w:color w:val="000000" w:themeColor="text1"/>
          <w:lang w:val="en-US"/>
        </w:rPr>
      </w:pPr>
      <w:r w:rsidRPr="334A3C2F">
        <w:rPr>
          <w:rFonts w:ascii="Calibri" w:eastAsia="Calibri" w:hAnsi="Calibri" w:cs="Calibri"/>
          <w:color w:val="000000" w:themeColor="text1"/>
        </w:rPr>
        <w:t>The proposed changes to the adopted charging schedule are thus to increase E – Office and R&amp;D rates, and to maintain B2/B8 industrial rates at their current rate.</w:t>
      </w:r>
    </w:p>
    <w:p w14:paraId="1C6AD4A5" w14:textId="77777777" w:rsidR="00D3014A" w:rsidRPr="00D3014A" w:rsidRDefault="00D3014A" w:rsidP="4A4F46FD">
      <w:pPr>
        <w:pStyle w:val="ListParagraph"/>
        <w:rPr>
          <w:rFonts w:asciiTheme="minorHAnsi" w:hAnsiTheme="minorHAnsi" w:cs="Arial"/>
        </w:rPr>
      </w:pPr>
    </w:p>
    <w:p w14:paraId="1DB74F53" w14:textId="38F88B71" w:rsidR="00D3014A" w:rsidRDefault="2E0A3CE8" w:rsidP="4A4F46FD">
      <w:pPr>
        <w:pStyle w:val="ListParagraph"/>
        <w:numPr>
          <w:ilvl w:val="0"/>
          <w:numId w:val="8"/>
        </w:numPr>
        <w:contextualSpacing/>
        <w:jc w:val="both"/>
        <w:rPr>
          <w:rFonts w:asciiTheme="minorHAnsi" w:hAnsiTheme="minorHAnsi" w:cs="Arial"/>
        </w:rPr>
      </w:pPr>
      <w:r w:rsidRPr="4A4F46FD">
        <w:rPr>
          <w:rFonts w:asciiTheme="minorHAnsi" w:hAnsiTheme="minorHAnsi" w:cs="Arial"/>
        </w:rPr>
        <w:t>As these are the only changes being proposed, the Council intends for the rest of the charging schedule to remain as it is and for this review to be considered a partial review.</w:t>
      </w:r>
    </w:p>
    <w:p w14:paraId="2109FD0E" w14:textId="77777777" w:rsidR="005825B9" w:rsidRPr="005825B9" w:rsidRDefault="005825B9" w:rsidP="4A4F46FD">
      <w:pPr>
        <w:pStyle w:val="ListParagraph"/>
        <w:rPr>
          <w:rFonts w:asciiTheme="minorHAnsi" w:hAnsiTheme="minorHAnsi" w:cstheme="minorBidi"/>
        </w:rPr>
      </w:pPr>
    </w:p>
    <w:p w14:paraId="3AD1E34E" w14:textId="7F9A47CC" w:rsidR="005825B9" w:rsidRPr="005825B9" w:rsidRDefault="1718125D" w:rsidP="4A4F46FD">
      <w:pPr>
        <w:pStyle w:val="bParagraphtext"/>
        <w:numPr>
          <w:ilvl w:val="0"/>
          <w:numId w:val="8"/>
        </w:numPr>
        <w:spacing w:line="259" w:lineRule="auto"/>
        <w:rPr>
          <w:rFonts w:asciiTheme="minorHAnsi" w:hAnsiTheme="minorHAnsi" w:cstheme="minorBidi"/>
          <w:color w:val="000000" w:themeColor="text1"/>
        </w:rPr>
      </w:pPr>
      <w:r w:rsidRPr="4A4F46FD">
        <w:rPr>
          <w:rFonts w:asciiTheme="minorHAnsi" w:hAnsiTheme="minorHAnsi" w:cstheme="minorBidi"/>
          <w:color w:val="000000" w:themeColor="text1"/>
        </w:rPr>
        <w:t>If and where issues of viability or economic impact may arise, the exceptional circumstances relief policy introduced in 2019 can be considered to mitigate risk of delivery of sites on a case-by-case basis</w:t>
      </w:r>
      <w:r w:rsidR="6772EFA1" w:rsidRPr="4A4F46FD">
        <w:rPr>
          <w:rFonts w:asciiTheme="minorHAnsi" w:hAnsiTheme="minorHAnsi" w:cstheme="minorBidi"/>
          <w:color w:val="000000" w:themeColor="text1"/>
        </w:rPr>
        <w:t xml:space="preserve"> (Annex 5)</w:t>
      </w:r>
      <w:r w:rsidRPr="4A4F46FD">
        <w:rPr>
          <w:rFonts w:asciiTheme="minorHAnsi" w:hAnsiTheme="minorHAnsi" w:cstheme="minorBidi"/>
          <w:color w:val="000000" w:themeColor="text1"/>
        </w:rPr>
        <w:t>.</w:t>
      </w:r>
    </w:p>
    <w:p w14:paraId="30D7AA69" w14:textId="692EC5B8" w:rsidR="00760171" w:rsidRPr="00EB070E" w:rsidRDefault="7EF85065" w:rsidP="4A4F46FD">
      <w:pPr>
        <w:pStyle w:val="ListParagraph"/>
        <w:numPr>
          <w:ilvl w:val="0"/>
          <w:numId w:val="8"/>
        </w:numPr>
        <w:contextualSpacing/>
        <w:jc w:val="both"/>
        <w:rPr>
          <w:rFonts w:asciiTheme="minorHAnsi" w:hAnsiTheme="minorHAnsi" w:cs="Arial"/>
        </w:rPr>
      </w:pPr>
      <w:r w:rsidRPr="4A4F46FD">
        <w:rPr>
          <w:rFonts w:asciiTheme="minorHAnsi" w:hAnsiTheme="minorHAnsi" w:cs="Arial"/>
        </w:rPr>
        <w:t>The proposed</w:t>
      </w:r>
      <w:r w:rsidR="131EC9BD" w:rsidRPr="4A4F46FD">
        <w:rPr>
          <w:rFonts w:asciiTheme="minorHAnsi" w:hAnsiTheme="minorHAnsi" w:cs="Arial"/>
        </w:rPr>
        <w:t xml:space="preserve"> CIL rates</w:t>
      </w:r>
      <w:r w:rsidR="087AC629" w:rsidRPr="4A4F46FD">
        <w:rPr>
          <w:rFonts w:asciiTheme="minorHAnsi" w:hAnsiTheme="minorHAnsi" w:cs="Arial"/>
        </w:rPr>
        <w:t xml:space="preserve"> in pounds sterling per square metre</w:t>
      </w:r>
      <w:r w:rsidR="2AA55861" w:rsidRPr="4A4F46FD">
        <w:rPr>
          <w:rFonts w:asciiTheme="minorHAnsi" w:hAnsiTheme="minorHAnsi" w:cs="Arial"/>
        </w:rPr>
        <w:t xml:space="preserve"> according to the type of development</w:t>
      </w:r>
      <w:r w:rsidR="131EC9BD" w:rsidRPr="4A4F46FD">
        <w:rPr>
          <w:rFonts w:asciiTheme="minorHAnsi" w:hAnsiTheme="minorHAnsi" w:cs="Arial"/>
        </w:rPr>
        <w:t xml:space="preserve"> are shown in Table 1</w:t>
      </w:r>
      <w:r w:rsidR="2F7EC526" w:rsidRPr="4A4F46FD">
        <w:rPr>
          <w:rFonts w:asciiTheme="minorHAnsi" w:hAnsiTheme="minorHAnsi" w:cs="Arial"/>
        </w:rPr>
        <w:t xml:space="preserve"> below</w:t>
      </w:r>
      <w:r w:rsidR="50985E36" w:rsidRPr="4A4F46FD">
        <w:rPr>
          <w:rFonts w:ascii="Calibri" w:hAnsi="Calibri" w:cs="Arial"/>
        </w:rPr>
        <w:t>:</w:t>
      </w:r>
    </w:p>
    <w:p w14:paraId="2AF88901" w14:textId="5F9BF119" w:rsidR="00621B0F" w:rsidRPr="00EB070E" w:rsidRDefault="59D427D7" w:rsidP="00190F73">
      <w:r>
        <w:br w:type="page"/>
      </w:r>
      <w:r w:rsidR="00760171" w:rsidRPr="53C9A66A">
        <w:rPr>
          <w:rFonts w:ascii="Calibri" w:hAnsi="Calibri" w:cs="Arial"/>
          <w:b/>
          <w:bCs/>
          <w:color w:val="007373"/>
        </w:rPr>
        <w:lastRenderedPageBreak/>
        <w:t>Table 1</w:t>
      </w:r>
      <w:r w:rsidR="00E447E7" w:rsidRPr="53C9A66A">
        <w:rPr>
          <w:rFonts w:ascii="Calibri" w:hAnsi="Calibri" w:cs="Arial"/>
          <w:b/>
          <w:bCs/>
          <w:color w:val="007373"/>
        </w:rPr>
        <w:t xml:space="preserve"> - CIL Charging Schedule</w:t>
      </w:r>
      <w:r w:rsidR="2C88FF74" w:rsidRPr="53C9A66A">
        <w:rPr>
          <w:rFonts w:ascii="Calibri" w:hAnsi="Calibri" w:cs="Arial"/>
          <w:b/>
          <w:bCs/>
          <w:color w:val="007373"/>
        </w:rPr>
        <w:t xml:space="preserve"> for Oxford City Council</w:t>
      </w:r>
    </w:p>
    <w:p w14:paraId="00F86830" w14:textId="7D9B40D6" w:rsidR="2C88FF74" w:rsidRDefault="2C88FF74" w:rsidP="07409ADB">
      <w:pPr>
        <w:rPr>
          <w:rFonts w:ascii="Calibri" w:hAnsi="Calibri" w:cs="Arial"/>
          <w:b/>
          <w:bCs/>
          <w:color w:val="007373"/>
        </w:rPr>
      </w:pPr>
      <w:r w:rsidRPr="724A7E7E">
        <w:rPr>
          <w:rFonts w:ascii="Calibri" w:hAnsi="Calibri" w:cs="Arial"/>
          <w:b/>
          <w:bCs/>
          <w:color w:val="007373"/>
        </w:rPr>
        <w:t xml:space="preserve">(Changes </w:t>
      </w:r>
      <w:r w:rsidR="44300A68" w:rsidRPr="724A7E7E">
        <w:rPr>
          <w:rFonts w:ascii="Calibri" w:hAnsi="Calibri" w:cs="Arial"/>
          <w:b/>
          <w:bCs/>
          <w:color w:val="007373"/>
        </w:rPr>
        <w:t>from original 2013 schedule</w:t>
      </w:r>
      <w:r w:rsidR="00C13484" w:rsidRPr="724A7E7E">
        <w:rPr>
          <w:rFonts w:ascii="Calibri" w:hAnsi="Calibri" w:cs="Arial"/>
          <w:b/>
          <w:bCs/>
          <w:color w:val="007373"/>
        </w:rPr>
        <w:t xml:space="preserve"> </w:t>
      </w:r>
      <w:r w:rsidRPr="724A7E7E">
        <w:rPr>
          <w:rFonts w:ascii="Calibri" w:hAnsi="Calibri" w:cs="Arial"/>
          <w:b/>
          <w:bCs/>
          <w:color w:val="007373"/>
        </w:rPr>
        <w:t>highlighted in green</w:t>
      </w:r>
      <w:r w:rsidR="00C13484" w:rsidRPr="724A7E7E">
        <w:rPr>
          <w:rFonts w:ascii="Calibri" w:hAnsi="Calibri" w:cs="Arial"/>
          <w:b/>
          <w:bCs/>
          <w:color w:val="007373"/>
        </w:rPr>
        <w:t xml:space="preserve">) </w:t>
      </w:r>
    </w:p>
    <w:p w14:paraId="7196D064" w14:textId="77777777" w:rsidR="00760171" w:rsidRPr="00760171" w:rsidRDefault="00760171" w:rsidP="00760171">
      <w:pPr>
        <w:ind w:left="360"/>
        <w:rPr>
          <w:rFonts w:ascii="Calibri" w:hAnsi="Calibri" w:cs="Arial"/>
          <w:b/>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8"/>
        <w:gridCol w:w="1405"/>
        <w:gridCol w:w="1329"/>
        <w:gridCol w:w="1365"/>
        <w:gridCol w:w="1395"/>
      </w:tblGrid>
      <w:tr w:rsidR="004A0C5B" w:rsidRPr="00760171" w14:paraId="086122C1" w14:textId="77777777" w:rsidTr="53C9A66A">
        <w:trPr>
          <w:trHeight w:val="300"/>
          <w:jc w:val="center"/>
        </w:trPr>
        <w:tc>
          <w:tcPr>
            <w:tcW w:w="3698" w:type="dxa"/>
            <w:shd w:val="clear" w:color="auto" w:fill="F3F5F5"/>
            <w:tcMar>
              <w:top w:w="30" w:type="dxa"/>
              <w:left w:w="45" w:type="dxa"/>
              <w:bottom w:w="30" w:type="dxa"/>
              <w:right w:w="45" w:type="dxa"/>
            </w:tcMar>
            <w:hideMark/>
          </w:tcPr>
          <w:p w14:paraId="4BF19331" w14:textId="49C27DC5" w:rsidR="004A0C5B" w:rsidRPr="00B761E0" w:rsidRDefault="004A0C5B" w:rsidP="004A0C5B">
            <w:pPr>
              <w:rPr>
                <w:rFonts w:cs="Arial"/>
                <w:b/>
                <w:bCs/>
                <w:color w:val="37474F"/>
                <w:sz w:val="20"/>
                <w:szCs w:val="20"/>
                <w:lang w:eastAsia="en-GB"/>
              </w:rPr>
            </w:pPr>
            <w:r w:rsidRPr="00B761E0">
              <w:rPr>
                <w:rFonts w:eastAsia="Arial" w:cs="Arial"/>
                <w:b/>
                <w:bCs/>
                <w:color w:val="000000" w:themeColor="text1"/>
                <w:sz w:val="20"/>
                <w:szCs w:val="20"/>
              </w:rPr>
              <w:t>Development Type*</w:t>
            </w:r>
          </w:p>
        </w:tc>
        <w:tc>
          <w:tcPr>
            <w:tcW w:w="1405" w:type="dxa"/>
            <w:shd w:val="clear" w:color="auto" w:fill="F3F5F5"/>
            <w:tcMar>
              <w:top w:w="30" w:type="dxa"/>
              <w:left w:w="45" w:type="dxa"/>
              <w:bottom w:w="30" w:type="dxa"/>
              <w:right w:w="45" w:type="dxa"/>
            </w:tcMar>
            <w:vAlign w:val="center"/>
            <w:hideMark/>
          </w:tcPr>
          <w:p w14:paraId="0E620019" w14:textId="09D10A57" w:rsidR="004A0C5B" w:rsidRPr="00B761E0" w:rsidRDefault="004A0C5B" w:rsidP="004A0C5B">
            <w:pPr>
              <w:jc w:val="center"/>
              <w:rPr>
                <w:rFonts w:cs="Arial"/>
                <w:b/>
                <w:bCs/>
                <w:color w:val="37474F"/>
                <w:sz w:val="20"/>
                <w:szCs w:val="20"/>
                <w:lang w:eastAsia="en-GB"/>
              </w:rPr>
            </w:pPr>
            <w:r w:rsidRPr="00B761E0">
              <w:rPr>
                <w:rFonts w:eastAsia="Arial" w:cs="Arial"/>
                <w:b/>
                <w:bCs/>
                <w:color w:val="000000" w:themeColor="text1"/>
                <w:sz w:val="20"/>
                <w:szCs w:val="20"/>
              </w:rPr>
              <w:t>Jan 2023 Rates per m</w:t>
            </w:r>
            <w:r w:rsidRPr="00B761E0">
              <w:rPr>
                <w:rFonts w:eastAsia="Arial" w:cs="Arial"/>
                <w:b/>
                <w:bCs/>
                <w:color w:val="000000" w:themeColor="text1"/>
                <w:sz w:val="20"/>
                <w:szCs w:val="20"/>
                <w:vertAlign w:val="superscript"/>
              </w:rPr>
              <w:t>2</w:t>
            </w:r>
          </w:p>
        </w:tc>
        <w:tc>
          <w:tcPr>
            <w:tcW w:w="1329" w:type="dxa"/>
            <w:shd w:val="clear" w:color="auto" w:fill="F3F5F5"/>
            <w:vAlign w:val="center"/>
          </w:tcPr>
          <w:p w14:paraId="64C75954" w14:textId="670B3DC8" w:rsidR="004A0C5B" w:rsidRPr="00B761E0" w:rsidRDefault="004A0C5B" w:rsidP="004A0C5B">
            <w:pPr>
              <w:jc w:val="center"/>
              <w:rPr>
                <w:rFonts w:eastAsia="Arial" w:cs="Arial"/>
                <w:b/>
                <w:bCs/>
                <w:color w:val="000000" w:themeColor="text1"/>
                <w:sz w:val="20"/>
                <w:szCs w:val="20"/>
              </w:rPr>
            </w:pPr>
            <w:r>
              <w:rPr>
                <w:rFonts w:eastAsia="Arial" w:cs="Arial"/>
                <w:b/>
                <w:bCs/>
                <w:color w:val="000000" w:themeColor="text1"/>
                <w:sz w:val="20"/>
                <w:szCs w:val="20"/>
              </w:rPr>
              <w:t>Jan 2024 Rates per m</w:t>
            </w:r>
            <w:r w:rsidRPr="004A0C5B">
              <w:rPr>
                <w:rFonts w:eastAsia="Arial" w:cs="Arial"/>
                <w:b/>
                <w:bCs/>
                <w:color w:val="000000" w:themeColor="text1"/>
                <w:sz w:val="20"/>
                <w:szCs w:val="20"/>
                <w:vertAlign w:val="superscript"/>
              </w:rPr>
              <w:t>2</w:t>
            </w:r>
          </w:p>
        </w:tc>
        <w:tc>
          <w:tcPr>
            <w:tcW w:w="1365" w:type="dxa"/>
            <w:shd w:val="clear" w:color="auto" w:fill="F3F5F5"/>
            <w:tcMar>
              <w:top w:w="30" w:type="dxa"/>
              <w:left w:w="45" w:type="dxa"/>
              <w:bottom w:w="30" w:type="dxa"/>
              <w:right w:w="45" w:type="dxa"/>
            </w:tcMar>
            <w:vAlign w:val="center"/>
            <w:hideMark/>
          </w:tcPr>
          <w:p w14:paraId="3CF774E5" w14:textId="78B61244" w:rsidR="004A0C5B" w:rsidRPr="00B761E0" w:rsidRDefault="004A0C5B" w:rsidP="004A0C5B">
            <w:pPr>
              <w:jc w:val="center"/>
              <w:rPr>
                <w:rFonts w:cs="Arial"/>
                <w:b/>
                <w:bCs/>
                <w:color w:val="37474F"/>
                <w:sz w:val="20"/>
                <w:szCs w:val="20"/>
                <w:lang w:eastAsia="en-GB"/>
              </w:rPr>
            </w:pPr>
            <w:r w:rsidRPr="00B761E0">
              <w:rPr>
                <w:rFonts w:eastAsia="Arial" w:cs="Arial"/>
                <w:b/>
                <w:bCs/>
                <w:color w:val="000000" w:themeColor="text1"/>
                <w:sz w:val="20"/>
                <w:szCs w:val="20"/>
              </w:rPr>
              <w:t>Proposed rates per m</w:t>
            </w:r>
            <w:r w:rsidRPr="00B761E0">
              <w:rPr>
                <w:rFonts w:eastAsia="Arial" w:cs="Arial"/>
                <w:b/>
                <w:bCs/>
                <w:color w:val="000000" w:themeColor="text1"/>
                <w:sz w:val="20"/>
                <w:szCs w:val="20"/>
                <w:vertAlign w:val="superscript"/>
              </w:rPr>
              <w:t>2</w:t>
            </w:r>
            <w:r w:rsidRPr="00B761E0">
              <w:rPr>
                <w:rFonts w:eastAsia="Arial" w:cs="Arial"/>
                <w:b/>
                <w:bCs/>
                <w:color w:val="000000" w:themeColor="text1"/>
                <w:sz w:val="20"/>
                <w:szCs w:val="20"/>
              </w:rPr>
              <w:t xml:space="preserve"> following Partial Review</w:t>
            </w:r>
            <w:r w:rsidR="00A91557">
              <w:rPr>
                <w:rFonts w:eastAsia="Arial" w:cs="Arial"/>
                <w:b/>
                <w:bCs/>
                <w:color w:val="000000" w:themeColor="text1"/>
                <w:sz w:val="20"/>
                <w:szCs w:val="20"/>
              </w:rPr>
              <w:t xml:space="preserve"> Consultation</w:t>
            </w:r>
          </w:p>
        </w:tc>
        <w:tc>
          <w:tcPr>
            <w:tcW w:w="1395" w:type="dxa"/>
            <w:shd w:val="clear" w:color="auto" w:fill="F3F5F5"/>
            <w:tcMar>
              <w:top w:w="30" w:type="dxa"/>
              <w:left w:w="45" w:type="dxa"/>
              <w:bottom w:w="30" w:type="dxa"/>
              <w:right w:w="45" w:type="dxa"/>
            </w:tcMar>
            <w:vAlign w:val="center"/>
          </w:tcPr>
          <w:p w14:paraId="657739C3" w14:textId="23CDAF73" w:rsidR="53C9A66A" w:rsidRDefault="53C9A66A" w:rsidP="53C9A66A">
            <w:pPr>
              <w:jc w:val="center"/>
              <w:rPr>
                <w:rFonts w:eastAsia="Arial" w:cs="Arial"/>
                <w:b/>
                <w:bCs/>
                <w:color w:val="000000" w:themeColor="text1"/>
                <w:sz w:val="20"/>
                <w:szCs w:val="20"/>
              </w:rPr>
            </w:pPr>
          </w:p>
          <w:p w14:paraId="108546B0" w14:textId="3F4409E3" w:rsidR="53C9A66A" w:rsidRDefault="53C9A66A" w:rsidP="53C9A66A">
            <w:pPr>
              <w:jc w:val="center"/>
              <w:rPr>
                <w:rFonts w:eastAsia="Arial" w:cs="Arial"/>
                <w:b/>
                <w:bCs/>
                <w:color w:val="000000" w:themeColor="text1"/>
                <w:sz w:val="20"/>
                <w:szCs w:val="20"/>
              </w:rPr>
            </w:pPr>
          </w:p>
          <w:p w14:paraId="1950CE85" w14:textId="25DA37A6" w:rsidR="4447C254" w:rsidRDefault="4447C254" w:rsidP="53C9A66A">
            <w:pPr>
              <w:jc w:val="center"/>
              <w:rPr>
                <w:rFonts w:eastAsia="Arial" w:cs="Arial"/>
                <w:b/>
                <w:bCs/>
                <w:color w:val="000000" w:themeColor="text1"/>
                <w:sz w:val="20"/>
                <w:szCs w:val="20"/>
              </w:rPr>
            </w:pPr>
            <w:r w:rsidRPr="53C9A66A">
              <w:rPr>
                <w:rFonts w:eastAsia="Arial" w:cs="Arial"/>
                <w:b/>
                <w:bCs/>
                <w:color w:val="000000" w:themeColor="text1"/>
                <w:sz w:val="20"/>
                <w:szCs w:val="20"/>
              </w:rPr>
              <w:t>Jan 2025 Rates per m</w:t>
            </w:r>
            <w:r w:rsidRPr="53C9A66A">
              <w:rPr>
                <w:rFonts w:eastAsia="Arial" w:cs="Arial"/>
                <w:b/>
                <w:bCs/>
                <w:color w:val="000000" w:themeColor="text1"/>
                <w:sz w:val="20"/>
                <w:szCs w:val="20"/>
                <w:vertAlign w:val="superscript"/>
              </w:rPr>
              <w:t>2</w:t>
            </w:r>
          </w:p>
          <w:p w14:paraId="053FC5B8" w14:textId="72E2DEA9" w:rsidR="53C9A66A" w:rsidRDefault="53C9A66A" w:rsidP="53C9A66A">
            <w:pPr>
              <w:jc w:val="center"/>
              <w:rPr>
                <w:rFonts w:eastAsia="Arial" w:cs="Arial"/>
                <w:b/>
                <w:bCs/>
                <w:color w:val="000000" w:themeColor="text1"/>
                <w:sz w:val="20"/>
                <w:szCs w:val="20"/>
              </w:rPr>
            </w:pPr>
          </w:p>
        </w:tc>
      </w:tr>
      <w:tr w:rsidR="001A610C" w:rsidRPr="00760171" w14:paraId="5964C418"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1E35FEE1"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E Shops</w:t>
            </w:r>
          </w:p>
        </w:tc>
        <w:tc>
          <w:tcPr>
            <w:tcW w:w="1405" w:type="dxa"/>
            <w:shd w:val="clear" w:color="auto" w:fill="FFFFFF" w:themeFill="background1"/>
            <w:tcMar>
              <w:top w:w="30" w:type="dxa"/>
              <w:left w:w="45" w:type="dxa"/>
              <w:bottom w:w="30" w:type="dxa"/>
              <w:right w:w="45" w:type="dxa"/>
            </w:tcMar>
            <w:vAlign w:val="center"/>
            <w:hideMark/>
          </w:tcPr>
          <w:p w14:paraId="106D418B"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6FBE10A5" w14:textId="0EFD855B" w:rsidR="001A610C" w:rsidRPr="00BF13E2" w:rsidRDefault="001A610C" w:rsidP="00F50B3B">
            <w:pPr>
              <w:jc w:val="center"/>
              <w:rPr>
                <w:rFonts w:cs="Arial"/>
                <w:color w:val="000000" w:themeColor="text1"/>
                <w:sz w:val="20"/>
                <w:szCs w:val="20"/>
                <w:lang w:eastAsia="en-GB"/>
              </w:rPr>
            </w:pPr>
            <w:r w:rsidRPr="001A610C">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5C8AD9A3" w14:textId="664A5984" w:rsidR="001A610C" w:rsidRPr="00BF13E2" w:rsidRDefault="001A610C" w:rsidP="00F50B3B">
            <w:pPr>
              <w:jc w:val="center"/>
              <w:rPr>
                <w:rFonts w:cs="Arial"/>
                <w:color w:val="000000" w:themeColor="text1"/>
                <w:sz w:val="20"/>
                <w:szCs w:val="20"/>
                <w:lang w:eastAsia="en-GB"/>
              </w:rPr>
            </w:pPr>
            <w:r w:rsidRPr="00BC3F40">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29F0FFA2" w14:textId="74644844" w:rsidR="010A98D1" w:rsidRDefault="010A98D1"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06CEA18E"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246A9F15"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E Financial and professional services</w:t>
            </w:r>
          </w:p>
        </w:tc>
        <w:tc>
          <w:tcPr>
            <w:tcW w:w="1405" w:type="dxa"/>
            <w:shd w:val="clear" w:color="auto" w:fill="FFFFFF" w:themeFill="background1"/>
            <w:tcMar>
              <w:top w:w="30" w:type="dxa"/>
              <w:left w:w="45" w:type="dxa"/>
              <w:bottom w:w="30" w:type="dxa"/>
              <w:right w:w="45" w:type="dxa"/>
            </w:tcMar>
            <w:vAlign w:val="center"/>
            <w:hideMark/>
          </w:tcPr>
          <w:p w14:paraId="415A31C4"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5C44873F" w14:textId="3799F6BD" w:rsidR="001A610C" w:rsidRPr="00BF13E2" w:rsidRDefault="001A610C" w:rsidP="00F50B3B">
            <w:pPr>
              <w:jc w:val="center"/>
              <w:rPr>
                <w:rFonts w:cs="Arial"/>
                <w:color w:val="000000" w:themeColor="text1"/>
                <w:sz w:val="20"/>
                <w:szCs w:val="20"/>
                <w:lang w:eastAsia="en-GB"/>
              </w:rPr>
            </w:pPr>
            <w:r w:rsidRPr="008E7157">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0B41713A" w14:textId="6D9566A7" w:rsidR="001A610C" w:rsidRPr="00BF13E2" w:rsidRDefault="001A610C" w:rsidP="00F50B3B">
            <w:pPr>
              <w:jc w:val="center"/>
              <w:rPr>
                <w:rFonts w:cs="Arial"/>
                <w:color w:val="000000" w:themeColor="text1"/>
                <w:sz w:val="20"/>
                <w:szCs w:val="20"/>
                <w:lang w:eastAsia="en-GB"/>
              </w:rPr>
            </w:pPr>
            <w:r w:rsidRPr="00BC3F40">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7FFDA857" w14:textId="19D281B4" w:rsidR="4C0E9ED9" w:rsidRDefault="4C0E9ED9"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70C589CE"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799E6BF8"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E Restaurants and cafés</w:t>
            </w:r>
          </w:p>
        </w:tc>
        <w:tc>
          <w:tcPr>
            <w:tcW w:w="1405" w:type="dxa"/>
            <w:shd w:val="clear" w:color="auto" w:fill="FFFFFF" w:themeFill="background1"/>
            <w:tcMar>
              <w:top w:w="30" w:type="dxa"/>
              <w:left w:w="45" w:type="dxa"/>
              <w:bottom w:w="30" w:type="dxa"/>
              <w:right w:w="45" w:type="dxa"/>
            </w:tcMar>
            <w:vAlign w:val="center"/>
            <w:hideMark/>
          </w:tcPr>
          <w:p w14:paraId="57134D36"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1D799BE7" w14:textId="289B79A4" w:rsidR="001A610C" w:rsidRPr="00BF13E2" w:rsidRDefault="001A610C" w:rsidP="00F50B3B">
            <w:pPr>
              <w:jc w:val="center"/>
              <w:rPr>
                <w:rFonts w:cs="Arial"/>
                <w:color w:val="000000" w:themeColor="text1"/>
                <w:sz w:val="20"/>
                <w:szCs w:val="20"/>
                <w:lang w:eastAsia="en-GB"/>
              </w:rPr>
            </w:pPr>
            <w:r w:rsidRPr="008E7157">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05C47527" w14:textId="08A9785F" w:rsidR="001A610C" w:rsidRPr="00BF13E2" w:rsidRDefault="001A610C" w:rsidP="00F50B3B">
            <w:pPr>
              <w:jc w:val="center"/>
              <w:rPr>
                <w:rFonts w:cs="Arial"/>
                <w:color w:val="000000" w:themeColor="text1"/>
                <w:sz w:val="20"/>
                <w:szCs w:val="20"/>
                <w:lang w:eastAsia="en-GB"/>
              </w:rPr>
            </w:pPr>
            <w:r w:rsidRPr="00BC3F40">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62872B07" w14:textId="0426AA43" w:rsidR="0B3E7992" w:rsidRDefault="0B3E7992"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58C5B884"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29675150"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Sui Generis Drinking establishments</w:t>
            </w:r>
          </w:p>
        </w:tc>
        <w:tc>
          <w:tcPr>
            <w:tcW w:w="1405" w:type="dxa"/>
            <w:shd w:val="clear" w:color="auto" w:fill="FFFFFF" w:themeFill="background1"/>
            <w:tcMar>
              <w:top w:w="30" w:type="dxa"/>
              <w:left w:w="45" w:type="dxa"/>
              <w:bottom w:w="30" w:type="dxa"/>
              <w:right w:w="45" w:type="dxa"/>
            </w:tcMar>
            <w:vAlign w:val="center"/>
            <w:hideMark/>
          </w:tcPr>
          <w:p w14:paraId="27EB989F"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53C52134" w14:textId="6F965F45" w:rsidR="001A610C" w:rsidRPr="00BF13E2" w:rsidRDefault="001A610C" w:rsidP="00F50B3B">
            <w:pPr>
              <w:jc w:val="center"/>
              <w:rPr>
                <w:rFonts w:cs="Arial"/>
                <w:color w:val="000000" w:themeColor="text1"/>
                <w:sz w:val="20"/>
                <w:szCs w:val="20"/>
                <w:lang w:eastAsia="en-GB"/>
              </w:rPr>
            </w:pPr>
            <w:r w:rsidRPr="008E7157">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75E8CD2E" w14:textId="68308EA8" w:rsidR="001A610C" w:rsidRPr="00BF13E2" w:rsidRDefault="001A610C" w:rsidP="00F50B3B">
            <w:pPr>
              <w:jc w:val="center"/>
              <w:rPr>
                <w:rFonts w:cs="Arial"/>
                <w:color w:val="000000" w:themeColor="text1"/>
                <w:sz w:val="20"/>
                <w:szCs w:val="20"/>
                <w:lang w:eastAsia="en-GB"/>
              </w:rPr>
            </w:pPr>
            <w:r w:rsidRPr="00BC3F40">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3A2D548E" w14:textId="0F94CD23" w:rsidR="70EBD20B" w:rsidRDefault="70EBD20B"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378B643C"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7DBF0F5C"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Sui Generis Hot food takeaways</w:t>
            </w:r>
          </w:p>
        </w:tc>
        <w:tc>
          <w:tcPr>
            <w:tcW w:w="1405" w:type="dxa"/>
            <w:shd w:val="clear" w:color="auto" w:fill="FFFFFF" w:themeFill="background1"/>
            <w:tcMar>
              <w:top w:w="30" w:type="dxa"/>
              <w:left w:w="45" w:type="dxa"/>
              <w:bottom w:w="30" w:type="dxa"/>
              <w:right w:w="45" w:type="dxa"/>
            </w:tcMar>
            <w:vAlign w:val="center"/>
            <w:hideMark/>
          </w:tcPr>
          <w:p w14:paraId="7368267C"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73897528" w14:textId="76D1B9F9" w:rsidR="001A610C" w:rsidRPr="00BF13E2" w:rsidRDefault="001A610C" w:rsidP="00F50B3B">
            <w:pPr>
              <w:jc w:val="center"/>
              <w:rPr>
                <w:rFonts w:cs="Arial"/>
                <w:color w:val="000000" w:themeColor="text1"/>
                <w:sz w:val="20"/>
                <w:szCs w:val="20"/>
                <w:lang w:eastAsia="en-GB"/>
              </w:rPr>
            </w:pPr>
            <w:r w:rsidRPr="008E7157">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05323114" w14:textId="3681810E" w:rsidR="001A610C" w:rsidRPr="00BF13E2" w:rsidRDefault="001A610C" w:rsidP="00F50B3B">
            <w:pPr>
              <w:jc w:val="center"/>
              <w:rPr>
                <w:rFonts w:cs="Arial"/>
                <w:color w:val="000000" w:themeColor="text1"/>
                <w:sz w:val="20"/>
                <w:szCs w:val="20"/>
                <w:lang w:eastAsia="en-GB"/>
              </w:rPr>
            </w:pPr>
            <w:r w:rsidRPr="00BC3F40">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5206DDF5" w14:textId="4D710FC1" w:rsidR="72E51AAA" w:rsidRDefault="72E51AAA"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6D2455E7" w14:textId="77777777" w:rsidTr="53C9A66A">
        <w:trPr>
          <w:trHeight w:val="300"/>
          <w:jc w:val="center"/>
        </w:trPr>
        <w:tc>
          <w:tcPr>
            <w:tcW w:w="3698" w:type="dxa"/>
            <w:shd w:val="clear" w:color="auto" w:fill="92D050"/>
            <w:tcMar>
              <w:top w:w="30" w:type="dxa"/>
              <w:left w:w="45" w:type="dxa"/>
              <w:bottom w:w="30" w:type="dxa"/>
              <w:right w:w="45" w:type="dxa"/>
            </w:tcMar>
            <w:hideMark/>
          </w:tcPr>
          <w:p w14:paraId="261093D6" w14:textId="77DFFF34" w:rsidR="001A610C" w:rsidRPr="00E52B26" w:rsidRDefault="4607E8AA" w:rsidP="724A7E7E">
            <w:pPr>
              <w:rPr>
                <w:rFonts w:cs="Arial"/>
                <w:b/>
                <w:bCs/>
                <w:strike/>
                <w:color w:val="000000" w:themeColor="text1"/>
                <w:sz w:val="20"/>
                <w:szCs w:val="20"/>
                <w:lang w:eastAsia="en-GB"/>
              </w:rPr>
            </w:pPr>
            <w:r w:rsidRPr="4A4F46FD">
              <w:rPr>
                <w:rFonts w:cs="Arial"/>
                <w:b/>
                <w:bCs/>
                <w:color w:val="000000" w:themeColor="text1"/>
                <w:sz w:val="20"/>
                <w:szCs w:val="20"/>
                <w:lang w:eastAsia="en-GB"/>
              </w:rPr>
              <w:t>E Offices and R&amp;D</w:t>
            </w:r>
          </w:p>
        </w:tc>
        <w:tc>
          <w:tcPr>
            <w:tcW w:w="1405" w:type="dxa"/>
            <w:shd w:val="clear" w:color="auto" w:fill="92D050"/>
            <w:tcMar>
              <w:top w:w="30" w:type="dxa"/>
              <w:left w:w="45" w:type="dxa"/>
              <w:bottom w:w="30" w:type="dxa"/>
              <w:right w:w="45" w:type="dxa"/>
            </w:tcMar>
            <w:vAlign w:val="center"/>
            <w:hideMark/>
          </w:tcPr>
          <w:p w14:paraId="05840FCE" w14:textId="77777777" w:rsidR="001A610C" w:rsidRPr="00BF13E2" w:rsidRDefault="001A610C" w:rsidP="00F50B3B">
            <w:pPr>
              <w:jc w:val="center"/>
              <w:rPr>
                <w:rFonts w:cs="Arial"/>
                <w:b/>
                <w:color w:val="000000" w:themeColor="text1"/>
                <w:sz w:val="20"/>
                <w:szCs w:val="20"/>
                <w:lang w:eastAsia="en-GB"/>
              </w:rPr>
            </w:pPr>
            <w:r w:rsidRPr="00BF13E2">
              <w:rPr>
                <w:rFonts w:cs="Arial"/>
                <w:b/>
                <w:color w:val="000000" w:themeColor="text1"/>
                <w:sz w:val="20"/>
                <w:szCs w:val="20"/>
                <w:lang w:eastAsia="en-GB"/>
              </w:rPr>
              <w:t>£31.59</w:t>
            </w:r>
          </w:p>
        </w:tc>
        <w:tc>
          <w:tcPr>
            <w:tcW w:w="1329" w:type="dxa"/>
            <w:shd w:val="clear" w:color="auto" w:fill="92D050"/>
            <w:vAlign w:val="center"/>
          </w:tcPr>
          <w:p w14:paraId="16E94EAF" w14:textId="018730A9" w:rsidR="001A610C" w:rsidRPr="00BF13E2" w:rsidRDefault="00F50B3B" w:rsidP="00F50B3B">
            <w:pPr>
              <w:jc w:val="center"/>
              <w:rPr>
                <w:rFonts w:cs="Arial"/>
                <w:b/>
                <w:bCs/>
                <w:color w:val="000000" w:themeColor="text1"/>
                <w:sz w:val="20"/>
                <w:szCs w:val="20"/>
                <w:lang w:eastAsia="en-GB"/>
              </w:rPr>
            </w:pPr>
            <w:r w:rsidRPr="00F50B3B">
              <w:rPr>
                <w:rFonts w:cs="Arial"/>
                <w:b/>
                <w:bCs/>
                <w:color w:val="000000" w:themeColor="text1"/>
                <w:sz w:val="20"/>
                <w:szCs w:val="20"/>
                <w:lang w:eastAsia="en-GB"/>
              </w:rPr>
              <w:t>£33.74</w:t>
            </w:r>
          </w:p>
        </w:tc>
        <w:tc>
          <w:tcPr>
            <w:tcW w:w="1365" w:type="dxa"/>
            <w:shd w:val="clear" w:color="auto" w:fill="92D050"/>
            <w:tcMar>
              <w:top w:w="30" w:type="dxa"/>
              <w:left w:w="45" w:type="dxa"/>
              <w:bottom w:w="30" w:type="dxa"/>
              <w:right w:w="45" w:type="dxa"/>
            </w:tcMar>
            <w:vAlign w:val="center"/>
            <w:hideMark/>
          </w:tcPr>
          <w:p w14:paraId="0CC1EFA5" w14:textId="08031C7A" w:rsidR="001A610C" w:rsidRPr="001A610C" w:rsidRDefault="001A610C" w:rsidP="00F50B3B">
            <w:pPr>
              <w:jc w:val="center"/>
              <w:rPr>
                <w:rFonts w:cs="Arial"/>
                <w:b/>
                <w:bCs/>
                <w:color w:val="000000" w:themeColor="text1"/>
                <w:sz w:val="20"/>
                <w:szCs w:val="20"/>
                <w:lang w:eastAsia="en-GB"/>
              </w:rPr>
            </w:pPr>
            <w:r w:rsidRPr="001A610C">
              <w:rPr>
                <w:rFonts w:cs="Arial"/>
                <w:b/>
                <w:bCs/>
                <w:color w:val="000000" w:themeColor="text1"/>
                <w:sz w:val="20"/>
                <w:szCs w:val="20"/>
                <w:lang w:eastAsia="en-GB"/>
              </w:rPr>
              <w:t>£168.74</w:t>
            </w:r>
          </w:p>
        </w:tc>
        <w:tc>
          <w:tcPr>
            <w:tcW w:w="1395" w:type="dxa"/>
            <w:shd w:val="clear" w:color="auto" w:fill="92D050"/>
            <w:tcMar>
              <w:top w:w="30" w:type="dxa"/>
              <w:left w:w="45" w:type="dxa"/>
              <w:bottom w:w="30" w:type="dxa"/>
              <w:right w:w="45" w:type="dxa"/>
            </w:tcMar>
            <w:vAlign w:val="center"/>
          </w:tcPr>
          <w:p w14:paraId="4CB1519D" w14:textId="0E588C4B" w:rsidR="4C5DE7FB" w:rsidRDefault="4C5DE7FB"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r w:rsidR="1DED5614" w:rsidRPr="53C9A66A">
              <w:rPr>
                <w:rFonts w:cs="Arial"/>
                <w:color w:val="000000" w:themeColor="text1"/>
                <w:sz w:val="20"/>
                <w:szCs w:val="20"/>
                <w:lang w:eastAsia="en-GB"/>
              </w:rPr>
              <w:t>***</w:t>
            </w:r>
          </w:p>
        </w:tc>
      </w:tr>
      <w:tr w:rsidR="001A610C" w:rsidRPr="00760171" w14:paraId="2EE5C3E8" w14:textId="77777777" w:rsidTr="53C9A66A">
        <w:trPr>
          <w:trHeight w:val="300"/>
          <w:jc w:val="center"/>
        </w:trPr>
        <w:tc>
          <w:tcPr>
            <w:tcW w:w="3698" w:type="dxa"/>
            <w:shd w:val="clear" w:color="auto" w:fill="auto"/>
            <w:tcMar>
              <w:top w:w="30" w:type="dxa"/>
              <w:left w:w="45" w:type="dxa"/>
              <w:bottom w:w="30" w:type="dxa"/>
              <w:right w:w="45" w:type="dxa"/>
            </w:tcMar>
            <w:hideMark/>
          </w:tcPr>
          <w:p w14:paraId="054923A5" w14:textId="77777777" w:rsidR="001A610C" w:rsidRPr="0024754F" w:rsidRDefault="001A610C" w:rsidP="001A610C">
            <w:pPr>
              <w:rPr>
                <w:rFonts w:cs="Arial"/>
                <w:color w:val="000000" w:themeColor="text1"/>
                <w:sz w:val="20"/>
                <w:szCs w:val="20"/>
                <w:lang w:eastAsia="en-GB"/>
              </w:rPr>
            </w:pPr>
            <w:r w:rsidRPr="0024754F">
              <w:rPr>
                <w:rFonts w:cs="Arial"/>
                <w:color w:val="000000" w:themeColor="text1"/>
                <w:sz w:val="20"/>
                <w:szCs w:val="20"/>
                <w:lang w:eastAsia="en-GB"/>
              </w:rPr>
              <w:t>B2 General industrial</w:t>
            </w:r>
          </w:p>
        </w:tc>
        <w:tc>
          <w:tcPr>
            <w:tcW w:w="1405" w:type="dxa"/>
            <w:shd w:val="clear" w:color="auto" w:fill="auto"/>
            <w:tcMar>
              <w:top w:w="30" w:type="dxa"/>
              <w:left w:w="45" w:type="dxa"/>
              <w:bottom w:w="30" w:type="dxa"/>
              <w:right w:w="45" w:type="dxa"/>
            </w:tcMar>
            <w:vAlign w:val="center"/>
            <w:hideMark/>
          </w:tcPr>
          <w:p w14:paraId="65A6E8A0" w14:textId="77777777" w:rsidR="001A610C" w:rsidRPr="0024754F" w:rsidRDefault="001A610C" w:rsidP="00F50B3B">
            <w:pPr>
              <w:jc w:val="center"/>
              <w:rPr>
                <w:rFonts w:cs="Arial"/>
                <w:color w:val="000000" w:themeColor="text1"/>
                <w:sz w:val="20"/>
                <w:szCs w:val="20"/>
                <w:lang w:eastAsia="en-GB"/>
              </w:rPr>
            </w:pPr>
            <w:r w:rsidRPr="0024754F">
              <w:rPr>
                <w:rFonts w:cs="Arial"/>
                <w:color w:val="000000" w:themeColor="text1"/>
                <w:sz w:val="20"/>
                <w:szCs w:val="20"/>
                <w:lang w:eastAsia="en-GB"/>
              </w:rPr>
              <w:t>£31.59</w:t>
            </w:r>
          </w:p>
        </w:tc>
        <w:tc>
          <w:tcPr>
            <w:tcW w:w="1329" w:type="dxa"/>
            <w:shd w:val="clear" w:color="auto" w:fill="auto"/>
            <w:vAlign w:val="center"/>
          </w:tcPr>
          <w:p w14:paraId="27910BF6" w14:textId="1DEAC604" w:rsidR="001A610C" w:rsidRPr="0024754F" w:rsidRDefault="00F50B3B" w:rsidP="00F50B3B">
            <w:pPr>
              <w:jc w:val="center"/>
              <w:rPr>
                <w:rFonts w:cs="Arial"/>
                <w:color w:val="000000" w:themeColor="text1"/>
                <w:sz w:val="20"/>
                <w:szCs w:val="20"/>
                <w:lang w:eastAsia="en-GB"/>
              </w:rPr>
            </w:pPr>
            <w:r w:rsidRPr="0024754F">
              <w:rPr>
                <w:rFonts w:cs="Arial"/>
                <w:color w:val="000000" w:themeColor="text1"/>
                <w:sz w:val="20"/>
                <w:szCs w:val="20"/>
                <w:lang w:eastAsia="en-GB"/>
              </w:rPr>
              <w:t>£33.74</w:t>
            </w:r>
          </w:p>
        </w:tc>
        <w:tc>
          <w:tcPr>
            <w:tcW w:w="1365" w:type="dxa"/>
            <w:shd w:val="clear" w:color="auto" w:fill="auto"/>
            <w:tcMar>
              <w:top w:w="30" w:type="dxa"/>
              <w:left w:w="45" w:type="dxa"/>
              <w:bottom w:w="30" w:type="dxa"/>
              <w:right w:w="45" w:type="dxa"/>
            </w:tcMar>
            <w:vAlign w:val="center"/>
            <w:hideMark/>
          </w:tcPr>
          <w:p w14:paraId="4094501A" w14:textId="5230AFEF" w:rsidR="001A610C" w:rsidRPr="0024754F" w:rsidRDefault="00D7495D" w:rsidP="00B01938">
            <w:pPr>
              <w:jc w:val="center"/>
              <w:rPr>
                <w:rFonts w:cs="Arial"/>
                <w:strike/>
                <w:color w:val="000000" w:themeColor="text1"/>
                <w:sz w:val="20"/>
                <w:szCs w:val="20"/>
                <w:lang w:eastAsia="en-GB"/>
              </w:rPr>
            </w:pPr>
            <w:r w:rsidRPr="0024754F">
              <w:rPr>
                <w:rFonts w:cs="Arial"/>
                <w:color w:val="000000" w:themeColor="text1"/>
                <w:sz w:val="20"/>
                <w:szCs w:val="20"/>
                <w:lang w:eastAsia="en-GB"/>
              </w:rPr>
              <w:t>£33.74</w:t>
            </w:r>
          </w:p>
        </w:tc>
        <w:tc>
          <w:tcPr>
            <w:tcW w:w="1395" w:type="dxa"/>
            <w:shd w:val="clear" w:color="auto" w:fill="auto"/>
            <w:tcMar>
              <w:top w:w="30" w:type="dxa"/>
              <w:left w:w="45" w:type="dxa"/>
              <w:bottom w:w="30" w:type="dxa"/>
              <w:right w:w="45" w:type="dxa"/>
            </w:tcMar>
            <w:vAlign w:val="center"/>
          </w:tcPr>
          <w:p w14:paraId="161E7E87" w14:textId="6256F409" w:rsidR="19138F5A" w:rsidRDefault="19138F5A"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A610C" w:rsidRPr="00760171" w14:paraId="43E4EB17" w14:textId="77777777" w:rsidTr="53C9A66A">
        <w:trPr>
          <w:trHeight w:val="300"/>
          <w:jc w:val="center"/>
        </w:trPr>
        <w:tc>
          <w:tcPr>
            <w:tcW w:w="3698" w:type="dxa"/>
            <w:shd w:val="clear" w:color="auto" w:fill="auto"/>
            <w:tcMar>
              <w:top w:w="30" w:type="dxa"/>
              <w:left w:w="45" w:type="dxa"/>
              <w:bottom w:w="30" w:type="dxa"/>
              <w:right w:w="45" w:type="dxa"/>
            </w:tcMar>
            <w:hideMark/>
          </w:tcPr>
          <w:p w14:paraId="6B9DB4E5" w14:textId="77777777" w:rsidR="001A610C" w:rsidRPr="0024754F" w:rsidRDefault="001A610C" w:rsidP="001A610C">
            <w:pPr>
              <w:rPr>
                <w:rFonts w:cs="Arial"/>
                <w:color w:val="000000" w:themeColor="text1"/>
                <w:sz w:val="20"/>
                <w:szCs w:val="20"/>
                <w:lang w:eastAsia="en-GB"/>
              </w:rPr>
            </w:pPr>
            <w:r w:rsidRPr="0024754F">
              <w:rPr>
                <w:rFonts w:cs="Arial"/>
                <w:color w:val="000000" w:themeColor="text1"/>
                <w:sz w:val="20"/>
                <w:szCs w:val="20"/>
                <w:lang w:eastAsia="en-GB"/>
              </w:rPr>
              <w:t>B8 Storage or distribution</w:t>
            </w:r>
          </w:p>
        </w:tc>
        <w:tc>
          <w:tcPr>
            <w:tcW w:w="1405" w:type="dxa"/>
            <w:shd w:val="clear" w:color="auto" w:fill="auto"/>
            <w:tcMar>
              <w:top w:w="30" w:type="dxa"/>
              <w:left w:w="45" w:type="dxa"/>
              <w:bottom w:w="30" w:type="dxa"/>
              <w:right w:w="45" w:type="dxa"/>
            </w:tcMar>
            <w:vAlign w:val="center"/>
            <w:hideMark/>
          </w:tcPr>
          <w:p w14:paraId="660E8336" w14:textId="77777777" w:rsidR="001A610C" w:rsidRPr="0024754F" w:rsidRDefault="001A610C" w:rsidP="00F50B3B">
            <w:pPr>
              <w:jc w:val="center"/>
              <w:rPr>
                <w:rFonts w:cs="Arial"/>
                <w:color w:val="000000" w:themeColor="text1"/>
                <w:sz w:val="20"/>
                <w:szCs w:val="20"/>
                <w:lang w:eastAsia="en-GB"/>
              </w:rPr>
            </w:pPr>
            <w:r w:rsidRPr="0024754F">
              <w:rPr>
                <w:rFonts w:cs="Arial"/>
                <w:color w:val="000000" w:themeColor="text1"/>
                <w:sz w:val="20"/>
                <w:szCs w:val="20"/>
                <w:lang w:eastAsia="en-GB"/>
              </w:rPr>
              <w:t>£31.59</w:t>
            </w:r>
          </w:p>
        </w:tc>
        <w:tc>
          <w:tcPr>
            <w:tcW w:w="1329" w:type="dxa"/>
            <w:shd w:val="clear" w:color="auto" w:fill="auto"/>
            <w:vAlign w:val="center"/>
          </w:tcPr>
          <w:p w14:paraId="1B3DD018" w14:textId="77E3A5C6" w:rsidR="001A610C" w:rsidRPr="0024754F" w:rsidRDefault="00F50B3B" w:rsidP="00F50B3B">
            <w:pPr>
              <w:jc w:val="center"/>
              <w:rPr>
                <w:rFonts w:cs="Arial"/>
                <w:color w:val="000000" w:themeColor="text1"/>
                <w:sz w:val="20"/>
                <w:szCs w:val="20"/>
                <w:lang w:eastAsia="en-GB"/>
              </w:rPr>
            </w:pPr>
            <w:r w:rsidRPr="0024754F">
              <w:rPr>
                <w:rFonts w:cs="Arial"/>
                <w:color w:val="000000" w:themeColor="text1"/>
                <w:sz w:val="20"/>
                <w:szCs w:val="20"/>
                <w:lang w:eastAsia="en-GB"/>
              </w:rPr>
              <w:t>£33.74</w:t>
            </w:r>
          </w:p>
        </w:tc>
        <w:tc>
          <w:tcPr>
            <w:tcW w:w="1365" w:type="dxa"/>
            <w:shd w:val="clear" w:color="auto" w:fill="auto"/>
            <w:tcMar>
              <w:top w:w="30" w:type="dxa"/>
              <w:left w:w="45" w:type="dxa"/>
              <w:bottom w:w="30" w:type="dxa"/>
              <w:right w:w="45" w:type="dxa"/>
            </w:tcMar>
            <w:vAlign w:val="center"/>
            <w:hideMark/>
          </w:tcPr>
          <w:p w14:paraId="4CEB8C64" w14:textId="1B49040B" w:rsidR="001A610C" w:rsidRPr="0024754F" w:rsidRDefault="00D7495D" w:rsidP="00B01938">
            <w:pPr>
              <w:jc w:val="center"/>
              <w:rPr>
                <w:rFonts w:cs="Arial"/>
                <w:strike/>
                <w:color w:val="000000" w:themeColor="text1"/>
                <w:sz w:val="20"/>
                <w:szCs w:val="20"/>
                <w:lang w:eastAsia="en-GB"/>
              </w:rPr>
            </w:pPr>
            <w:r w:rsidRPr="0024754F">
              <w:rPr>
                <w:rFonts w:cs="Arial"/>
                <w:color w:val="000000" w:themeColor="text1"/>
                <w:sz w:val="20"/>
                <w:szCs w:val="20"/>
                <w:lang w:eastAsia="en-GB"/>
              </w:rPr>
              <w:t>£33.74</w:t>
            </w:r>
          </w:p>
        </w:tc>
        <w:tc>
          <w:tcPr>
            <w:tcW w:w="1395" w:type="dxa"/>
            <w:shd w:val="clear" w:color="auto" w:fill="auto"/>
            <w:tcMar>
              <w:top w:w="30" w:type="dxa"/>
              <w:left w:w="45" w:type="dxa"/>
              <w:bottom w:w="30" w:type="dxa"/>
              <w:right w:w="45" w:type="dxa"/>
            </w:tcMar>
            <w:vAlign w:val="center"/>
          </w:tcPr>
          <w:p w14:paraId="2CC44E77" w14:textId="78498A1A" w:rsidR="7CE6FF85" w:rsidRDefault="7CE6FF85"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51082" w:rsidRPr="00760171" w14:paraId="7F438D7A"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671461CC" w14:textId="77777777" w:rsidR="00151082" w:rsidRPr="00BF13E2" w:rsidRDefault="00151082" w:rsidP="00151082">
            <w:pPr>
              <w:rPr>
                <w:rFonts w:cs="Arial"/>
                <w:color w:val="000000" w:themeColor="text1"/>
                <w:sz w:val="20"/>
                <w:szCs w:val="20"/>
                <w:lang w:eastAsia="en-GB"/>
              </w:rPr>
            </w:pPr>
            <w:r w:rsidRPr="00BF13E2">
              <w:rPr>
                <w:rFonts w:cs="Arial"/>
                <w:color w:val="000000" w:themeColor="text1"/>
                <w:sz w:val="20"/>
                <w:szCs w:val="20"/>
                <w:lang w:eastAsia="en-GB"/>
              </w:rPr>
              <w:t>C1 Hotels</w:t>
            </w:r>
          </w:p>
        </w:tc>
        <w:tc>
          <w:tcPr>
            <w:tcW w:w="1405" w:type="dxa"/>
            <w:shd w:val="clear" w:color="auto" w:fill="FFFFFF" w:themeFill="background1"/>
            <w:tcMar>
              <w:top w:w="30" w:type="dxa"/>
              <w:left w:w="45" w:type="dxa"/>
              <w:bottom w:w="30" w:type="dxa"/>
              <w:right w:w="45" w:type="dxa"/>
            </w:tcMar>
            <w:vAlign w:val="center"/>
            <w:hideMark/>
          </w:tcPr>
          <w:p w14:paraId="53630EEC" w14:textId="77777777" w:rsidR="00151082" w:rsidRPr="00BF13E2" w:rsidRDefault="00151082" w:rsidP="00151082">
            <w:pPr>
              <w:jc w:val="center"/>
              <w:rPr>
                <w:rFonts w:cs="Arial"/>
                <w:color w:val="000000" w:themeColor="text1"/>
                <w:sz w:val="20"/>
                <w:szCs w:val="20"/>
                <w:lang w:eastAsia="en-GB"/>
              </w:rPr>
            </w:pPr>
            <w:r w:rsidRPr="00BF13E2">
              <w:rPr>
                <w:rFonts w:cs="Arial"/>
                <w:color w:val="000000" w:themeColor="text1"/>
                <w:sz w:val="20"/>
                <w:szCs w:val="20"/>
                <w:lang w:eastAsia="en-GB"/>
              </w:rPr>
              <w:t>£31.59</w:t>
            </w:r>
          </w:p>
        </w:tc>
        <w:tc>
          <w:tcPr>
            <w:tcW w:w="1329" w:type="dxa"/>
            <w:shd w:val="clear" w:color="auto" w:fill="FFFFFF" w:themeFill="background1"/>
            <w:vAlign w:val="center"/>
          </w:tcPr>
          <w:p w14:paraId="1F04F4EE" w14:textId="7DB2C532" w:rsidR="00151082" w:rsidRPr="00F50B3B" w:rsidRDefault="00151082" w:rsidP="00151082">
            <w:pPr>
              <w:jc w:val="center"/>
              <w:rPr>
                <w:rFonts w:cs="Arial"/>
                <w:color w:val="000000" w:themeColor="text1"/>
                <w:sz w:val="20"/>
                <w:szCs w:val="20"/>
                <w:lang w:eastAsia="en-GB"/>
              </w:rPr>
            </w:pPr>
            <w:r w:rsidRPr="00F50B3B">
              <w:rPr>
                <w:rFonts w:cs="Arial"/>
                <w:color w:val="000000" w:themeColor="text1"/>
                <w:sz w:val="20"/>
                <w:szCs w:val="20"/>
                <w:lang w:eastAsia="en-GB"/>
              </w:rPr>
              <w:t>£33.74</w:t>
            </w:r>
          </w:p>
        </w:tc>
        <w:tc>
          <w:tcPr>
            <w:tcW w:w="1365" w:type="dxa"/>
            <w:shd w:val="clear" w:color="auto" w:fill="FFFFFF" w:themeFill="background1"/>
            <w:tcMar>
              <w:top w:w="30" w:type="dxa"/>
              <w:left w:w="45" w:type="dxa"/>
              <w:bottom w:w="30" w:type="dxa"/>
              <w:right w:w="45" w:type="dxa"/>
            </w:tcMar>
            <w:vAlign w:val="center"/>
            <w:hideMark/>
          </w:tcPr>
          <w:p w14:paraId="086B266F" w14:textId="1F6ECDF8" w:rsidR="00151082" w:rsidRPr="00BF13E2" w:rsidRDefault="00151082" w:rsidP="00151082">
            <w:pPr>
              <w:jc w:val="center"/>
              <w:rPr>
                <w:rFonts w:cs="Arial"/>
                <w:color w:val="000000" w:themeColor="text1"/>
                <w:sz w:val="20"/>
                <w:szCs w:val="20"/>
                <w:lang w:eastAsia="en-GB"/>
              </w:rPr>
            </w:pPr>
            <w:r w:rsidRPr="00403DE5">
              <w:rPr>
                <w:rFonts w:cs="Arial"/>
                <w:color w:val="000000" w:themeColor="text1"/>
                <w:sz w:val="20"/>
                <w:szCs w:val="20"/>
                <w:lang w:eastAsia="en-GB"/>
              </w:rPr>
              <w:t>£33.74</w:t>
            </w:r>
          </w:p>
        </w:tc>
        <w:tc>
          <w:tcPr>
            <w:tcW w:w="1395" w:type="dxa"/>
            <w:shd w:val="clear" w:color="auto" w:fill="FFFFFF" w:themeFill="background1"/>
            <w:tcMar>
              <w:top w:w="30" w:type="dxa"/>
              <w:left w:w="45" w:type="dxa"/>
              <w:bottom w:w="30" w:type="dxa"/>
              <w:right w:w="45" w:type="dxa"/>
            </w:tcMar>
            <w:vAlign w:val="center"/>
          </w:tcPr>
          <w:p w14:paraId="1E905D70" w14:textId="73EDAF5E" w:rsidR="2F3489F8" w:rsidRDefault="2F3489F8"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51082" w:rsidRPr="00760171" w14:paraId="0E652CB6"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68075229" w14:textId="77777777" w:rsidR="00151082" w:rsidRPr="00BF13E2" w:rsidRDefault="00151082" w:rsidP="00151082">
            <w:pPr>
              <w:rPr>
                <w:rFonts w:cs="Arial"/>
                <w:color w:val="000000" w:themeColor="text1"/>
                <w:sz w:val="20"/>
                <w:szCs w:val="20"/>
                <w:lang w:eastAsia="en-GB"/>
              </w:rPr>
            </w:pPr>
            <w:r w:rsidRPr="00BF13E2">
              <w:rPr>
                <w:rFonts w:cs="Arial"/>
                <w:color w:val="000000" w:themeColor="text1"/>
                <w:sz w:val="20"/>
                <w:szCs w:val="20"/>
                <w:lang w:eastAsia="en-GB"/>
              </w:rPr>
              <w:t>C2 and C2A Residential institutions and secure residential institutions</w:t>
            </w:r>
          </w:p>
        </w:tc>
        <w:tc>
          <w:tcPr>
            <w:tcW w:w="1405" w:type="dxa"/>
            <w:shd w:val="clear" w:color="auto" w:fill="FFFFFF" w:themeFill="background1"/>
            <w:tcMar>
              <w:top w:w="30" w:type="dxa"/>
              <w:left w:w="45" w:type="dxa"/>
              <w:bottom w:w="30" w:type="dxa"/>
              <w:right w:w="45" w:type="dxa"/>
            </w:tcMar>
            <w:vAlign w:val="center"/>
            <w:hideMark/>
          </w:tcPr>
          <w:p w14:paraId="32666E30" w14:textId="77777777" w:rsidR="00151082" w:rsidRPr="00BF13E2" w:rsidRDefault="00151082" w:rsidP="00151082">
            <w:pPr>
              <w:jc w:val="center"/>
              <w:rPr>
                <w:rFonts w:cs="Arial"/>
                <w:color w:val="000000" w:themeColor="text1"/>
                <w:sz w:val="20"/>
                <w:szCs w:val="20"/>
                <w:lang w:eastAsia="en-GB"/>
              </w:rPr>
            </w:pPr>
            <w:r w:rsidRPr="00BF13E2">
              <w:rPr>
                <w:rFonts w:cs="Arial"/>
                <w:color w:val="000000" w:themeColor="text1"/>
                <w:sz w:val="20"/>
                <w:szCs w:val="20"/>
                <w:lang w:eastAsia="en-GB"/>
              </w:rPr>
              <w:t>£31.59</w:t>
            </w:r>
          </w:p>
        </w:tc>
        <w:tc>
          <w:tcPr>
            <w:tcW w:w="1329" w:type="dxa"/>
            <w:shd w:val="clear" w:color="auto" w:fill="FFFFFF" w:themeFill="background1"/>
            <w:vAlign w:val="center"/>
          </w:tcPr>
          <w:p w14:paraId="0DA8234D" w14:textId="34119F82" w:rsidR="00151082" w:rsidRPr="00F50B3B" w:rsidRDefault="00151082" w:rsidP="00151082">
            <w:pPr>
              <w:jc w:val="center"/>
              <w:rPr>
                <w:rFonts w:cs="Arial"/>
                <w:color w:val="000000" w:themeColor="text1"/>
                <w:sz w:val="20"/>
                <w:szCs w:val="20"/>
                <w:lang w:eastAsia="en-GB"/>
              </w:rPr>
            </w:pPr>
            <w:r w:rsidRPr="00F50B3B">
              <w:rPr>
                <w:rFonts w:cs="Arial"/>
                <w:color w:val="000000" w:themeColor="text1"/>
                <w:sz w:val="20"/>
                <w:szCs w:val="20"/>
                <w:lang w:eastAsia="en-GB"/>
              </w:rPr>
              <w:t>£33.74</w:t>
            </w:r>
          </w:p>
        </w:tc>
        <w:tc>
          <w:tcPr>
            <w:tcW w:w="1365" w:type="dxa"/>
            <w:shd w:val="clear" w:color="auto" w:fill="FFFFFF" w:themeFill="background1"/>
            <w:tcMar>
              <w:top w:w="30" w:type="dxa"/>
              <w:left w:w="45" w:type="dxa"/>
              <w:bottom w:w="30" w:type="dxa"/>
              <w:right w:w="45" w:type="dxa"/>
            </w:tcMar>
            <w:vAlign w:val="center"/>
            <w:hideMark/>
          </w:tcPr>
          <w:p w14:paraId="0532EFD8" w14:textId="556542AC" w:rsidR="00151082" w:rsidRPr="00BF13E2" w:rsidRDefault="00151082" w:rsidP="00151082">
            <w:pPr>
              <w:jc w:val="center"/>
              <w:rPr>
                <w:rFonts w:cs="Arial"/>
                <w:color w:val="000000" w:themeColor="text1"/>
                <w:sz w:val="20"/>
                <w:szCs w:val="20"/>
                <w:lang w:eastAsia="en-GB"/>
              </w:rPr>
            </w:pPr>
            <w:r w:rsidRPr="00403DE5">
              <w:rPr>
                <w:rFonts w:cs="Arial"/>
                <w:color w:val="000000" w:themeColor="text1"/>
                <w:sz w:val="20"/>
                <w:szCs w:val="20"/>
                <w:lang w:eastAsia="en-GB"/>
              </w:rPr>
              <w:t>£33.74</w:t>
            </w:r>
          </w:p>
        </w:tc>
        <w:tc>
          <w:tcPr>
            <w:tcW w:w="1395" w:type="dxa"/>
            <w:shd w:val="clear" w:color="auto" w:fill="FFFFFF" w:themeFill="background1"/>
            <w:tcMar>
              <w:top w:w="30" w:type="dxa"/>
              <w:left w:w="45" w:type="dxa"/>
              <w:bottom w:w="30" w:type="dxa"/>
              <w:right w:w="45" w:type="dxa"/>
            </w:tcMar>
            <w:vAlign w:val="center"/>
          </w:tcPr>
          <w:p w14:paraId="6E393B04" w14:textId="1445F90D" w:rsidR="78F74A34" w:rsidRDefault="78F74A34"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A610C" w:rsidRPr="00760171" w14:paraId="44FD1481"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4C0A6713"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C3 Dwelling houses**</w:t>
            </w:r>
          </w:p>
        </w:tc>
        <w:tc>
          <w:tcPr>
            <w:tcW w:w="1405" w:type="dxa"/>
            <w:shd w:val="clear" w:color="auto" w:fill="FFFFFF" w:themeFill="background1"/>
            <w:tcMar>
              <w:top w:w="30" w:type="dxa"/>
              <w:left w:w="45" w:type="dxa"/>
              <w:bottom w:w="30" w:type="dxa"/>
              <w:right w:w="45" w:type="dxa"/>
            </w:tcMar>
            <w:vAlign w:val="center"/>
            <w:hideMark/>
          </w:tcPr>
          <w:p w14:paraId="48CA0B98"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722ADCED" w14:textId="1C3BE98E" w:rsidR="001A610C" w:rsidRPr="00BF13E2" w:rsidRDefault="001A610C" w:rsidP="00F50B3B">
            <w:pPr>
              <w:jc w:val="center"/>
              <w:rPr>
                <w:rFonts w:cs="Arial"/>
                <w:color w:val="000000" w:themeColor="text1"/>
                <w:sz w:val="20"/>
                <w:szCs w:val="20"/>
                <w:lang w:eastAsia="en-GB"/>
              </w:rPr>
            </w:pPr>
            <w:r w:rsidRPr="00B20F7B">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0921025B" w14:textId="2505AB0E" w:rsidR="001A610C" w:rsidRPr="00BF13E2" w:rsidRDefault="001A610C" w:rsidP="00F50B3B">
            <w:pPr>
              <w:jc w:val="center"/>
              <w:rPr>
                <w:rFonts w:cs="Arial"/>
                <w:color w:val="000000" w:themeColor="text1"/>
                <w:sz w:val="20"/>
                <w:szCs w:val="20"/>
                <w:lang w:eastAsia="en-GB"/>
              </w:rPr>
            </w:pPr>
            <w:r w:rsidRPr="001E6924">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19D2A67D" w14:textId="68966662" w:rsidR="2AC57195" w:rsidRDefault="2AC57195"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5896C4DC"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642D5FD3"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C4 Houses in multiple occupation (HMO)</w:t>
            </w:r>
          </w:p>
        </w:tc>
        <w:tc>
          <w:tcPr>
            <w:tcW w:w="1405" w:type="dxa"/>
            <w:shd w:val="clear" w:color="auto" w:fill="FFFFFF" w:themeFill="background1"/>
            <w:tcMar>
              <w:top w:w="30" w:type="dxa"/>
              <w:left w:w="45" w:type="dxa"/>
              <w:bottom w:w="30" w:type="dxa"/>
              <w:right w:w="45" w:type="dxa"/>
            </w:tcMar>
            <w:vAlign w:val="center"/>
            <w:hideMark/>
          </w:tcPr>
          <w:p w14:paraId="6866CEB5"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42FCB141" w14:textId="417BAA8D" w:rsidR="001A610C" w:rsidRPr="00BF13E2" w:rsidRDefault="001A610C" w:rsidP="00F50B3B">
            <w:pPr>
              <w:jc w:val="center"/>
              <w:rPr>
                <w:rFonts w:cs="Arial"/>
                <w:color w:val="000000" w:themeColor="text1"/>
                <w:sz w:val="20"/>
                <w:szCs w:val="20"/>
                <w:lang w:eastAsia="en-GB"/>
              </w:rPr>
            </w:pPr>
            <w:r w:rsidRPr="00B20F7B">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0BF72E9D" w14:textId="7A56E422" w:rsidR="001A610C" w:rsidRPr="00BF13E2" w:rsidRDefault="001A610C" w:rsidP="00F50B3B">
            <w:pPr>
              <w:jc w:val="center"/>
              <w:rPr>
                <w:rFonts w:cs="Arial"/>
                <w:color w:val="000000" w:themeColor="text1"/>
                <w:sz w:val="20"/>
                <w:szCs w:val="20"/>
                <w:lang w:eastAsia="en-GB"/>
              </w:rPr>
            </w:pPr>
            <w:r w:rsidRPr="001E6924">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02E1797F" w14:textId="41B99AAC" w:rsidR="0FFD5B75" w:rsidRDefault="0FFD5B75"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A610C" w:rsidRPr="00760171" w14:paraId="19C539BF"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5E6F0F95" w14:textId="77777777" w:rsidR="001A610C" w:rsidRPr="00BF13E2" w:rsidRDefault="001A610C" w:rsidP="001A610C">
            <w:pPr>
              <w:rPr>
                <w:rFonts w:cs="Arial"/>
                <w:color w:val="000000" w:themeColor="text1"/>
                <w:sz w:val="20"/>
                <w:szCs w:val="20"/>
                <w:lang w:eastAsia="en-GB"/>
              </w:rPr>
            </w:pPr>
            <w:r w:rsidRPr="00BF13E2">
              <w:rPr>
                <w:rFonts w:cs="Arial"/>
                <w:color w:val="000000" w:themeColor="text1"/>
                <w:sz w:val="20"/>
                <w:szCs w:val="20"/>
                <w:lang w:eastAsia="en-GB"/>
              </w:rPr>
              <w:t>Student accommodation</w:t>
            </w:r>
          </w:p>
        </w:tc>
        <w:tc>
          <w:tcPr>
            <w:tcW w:w="1405" w:type="dxa"/>
            <w:shd w:val="clear" w:color="auto" w:fill="FFFFFF" w:themeFill="background1"/>
            <w:tcMar>
              <w:top w:w="30" w:type="dxa"/>
              <w:left w:w="45" w:type="dxa"/>
              <w:bottom w:w="30" w:type="dxa"/>
              <w:right w:w="45" w:type="dxa"/>
            </w:tcMar>
            <w:vAlign w:val="center"/>
            <w:hideMark/>
          </w:tcPr>
          <w:p w14:paraId="2722777D" w14:textId="77777777" w:rsidR="001A610C" w:rsidRPr="00BF13E2" w:rsidRDefault="001A610C" w:rsidP="00F50B3B">
            <w:pPr>
              <w:jc w:val="center"/>
              <w:rPr>
                <w:rFonts w:cs="Arial"/>
                <w:color w:val="000000" w:themeColor="text1"/>
                <w:sz w:val="20"/>
                <w:szCs w:val="20"/>
                <w:lang w:eastAsia="en-GB"/>
              </w:rPr>
            </w:pPr>
            <w:r w:rsidRPr="00BF13E2">
              <w:rPr>
                <w:rFonts w:cs="Arial"/>
                <w:color w:val="000000" w:themeColor="text1"/>
                <w:sz w:val="20"/>
                <w:szCs w:val="20"/>
                <w:lang w:eastAsia="en-GB"/>
              </w:rPr>
              <w:t>£158.00</w:t>
            </w:r>
          </w:p>
        </w:tc>
        <w:tc>
          <w:tcPr>
            <w:tcW w:w="1329" w:type="dxa"/>
            <w:shd w:val="clear" w:color="auto" w:fill="FFFFFF" w:themeFill="background1"/>
            <w:vAlign w:val="center"/>
          </w:tcPr>
          <w:p w14:paraId="611EEBC9" w14:textId="404AC561" w:rsidR="001A610C" w:rsidRPr="00BF13E2" w:rsidRDefault="001A610C" w:rsidP="00F50B3B">
            <w:pPr>
              <w:jc w:val="center"/>
              <w:rPr>
                <w:rFonts w:cs="Arial"/>
                <w:color w:val="000000" w:themeColor="text1"/>
                <w:sz w:val="20"/>
                <w:szCs w:val="20"/>
                <w:lang w:eastAsia="en-GB"/>
              </w:rPr>
            </w:pPr>
            <w:r w:rsidRPr="00B20F7B">
              <w:rPr>
                <w:rFonts w:cs="Arial"/>
                <w:color w:val="000000" w:themeColor="text1"/>
                <w:sz w:val="20"/>
                <w:szCs w:val="20"/>
                <w:lang w:eastAsia="en-GB"/>
              </w:rPr>
              <w:t>£168.74</w:t>
            </w:r>
          </w:p>
        </w:tc>
        <w:tc>
          <w:tcPr>
            <w:tcW w:w="1365" w:type="dxa"/>
            <w:shd w:val="clear" w:color="auto" w:fill="FFFFFF" w:themeFill="background1"/>
            <w:tcMar>
              <w:top w:w="30" w:type="dxa"/>
              <w:left w:w="45" w:type="dxa"/>
              <w:bottom w:w="30" w:type="dxa"/>
              <w:right w:w="45" w:type="dxa"/>
            </w:tcMar>
            <w:vAlign w:val="center"/>
            <w:hideMark/>
          </w:tcPr>
          <w:p w14:paraId="4E3095B2" w14:textId="6F1CE8FD" w:rsidR="001A610C" w:rsidRPr="00BF13E2" w:rsidRDefault="001A610C" w:rsidP="00F50B3B">
            <w:pPr>
              <w:jc w:val="center"/>
              <w:rPr>
                <w:rFonts w:cs="Arial"/>
                <w:color w:val="000000" w:themeColor="text1"/>
                <w:sz w:val="20"/>
                <w:szCs w:val="20"/>
                <w:lang w:eastAsia="en-GB"/>
              </w:rPr>
            </w:pPr>
            <w:r w:rsidRPr="001E6924">
              <w:rPr>
                <w:rFonts w:cs="Arial"/>
                <w:color w:val="000000" w:themeColor="text1"/>
                <w:sz w:val="20"/>
                <w:szCs w:val="20"/>
                <w:lang w:eastAsia="en-GB"/>
              </w:rPr>
              <w:t>£168.74</w:t>
            </w:r>
          </w:p>
        </w:tc>
        <w:tc>
          <w:tcPr>
            <w:tcW w:w="1395" w:type="dxa"/>
            <w:shd w:val="clear" w:color="auto" w:fill="FFFFFF" w:themeFill="background1"/>
            <w:tcMar>
              <w:top w:w="30" w:type="dxa"/>
              <w:left w:w="45" w:type="dxa"/>
              <w:bottom w:w="30" w:type="dxa"/>
              <w:right w:w="45" w:type="dxa"/>
            </w:tcMar>
            <w:vAlign w:val="center"/>
          </w:tcPr>
          <w:p w14:paraId="6F2504FE" w14:textId="2038330C" w:rsidR="00575C7A" w:rsidRDefault="00575C7A" w:rsidP="53C9A66A">
            <w:pPr>
              <w:jc w:val="center"/>
              <w:rPr>
                <w:rFonts w:cs="Arial"/>
                <w:color w:val="000000" w:themeColor="text1"/>
                <w:sz w:val="20"/>
                <w:szCs w:val="20"/>
                <w:lang w:eastAsia="en-GB"/>
              </w:rPr>
            </w:pPr>
            <w:r w:rsidRPr="53C9A66A">
              <w:rPr>
                <w:rFonts w:cs="Arial"/>
                <w:color w:val="000000" w:themeColor="text1"/>
                <w:sz w:val="20"/>
                <w:szCs w:val="20"/>
                <w:lang w:eastAsia="en-GB"/>
              </w:rPr>
              <w:t>£172.28</w:t>
            </w:r>
          </w:p>
        </w:tc>
      </w:tr>
      <w:tr w:rsidR="00151082" w:rsidRPr="00760171" w14:paraId="7ED7FE39"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38BD66BC" w14:textId="77777777" w:rsidR="00151082" w:rsidRPr="00BF13E2" w:rsidRDefault="00151082" w:rsidP="00151082">
            <w:pPr>
              <w:rPr>
                <w:rFonts w:cs="Arial"/>
                <w:color w:val="000000" w:themeColor="text1"/>
                <w:sz w:val="20"/>
                <w:szCs w:val="20"/>
                <w:lang w:eastAsia="en-GB"/>
              </w:rPr>
            </w:pPr>
            <w:r w:rsidRPr="00BF13E2">
              <w:rPr>
                <w:rFonts w:cs="Arial"/>
                <w:color w:val="000000" w:themeColor="text1"/>
                <w:sz w:val="20"/>
                <w:szCs w:val="20"/>
                <w:lang w:eastAsia="en-GB"/>
              </w:rPr>
              <w:t>F1 Non-residential institutions</w:t>
            </w:r>
          </w:p>
        </w:tc>
        <w:tc>
          <w:tcPr>
            <w:tcW w:w="1405" w:type="dxa"/>
            <w:shd w:val="clear" w:color="auto" w:fill="FFFFFF" w:themeFill="background1"/>
            <w:tcMar>
              <w:top w:w="30" w:type="dxa"/>
              <w:left w:w="45" w:type="dxa"/>
              <w:bottom w:w="30" w:type="dxa"/>
              <w:right w:w="45" w:type="dxa"/>
            </w:tcMar>
            <w:vAlign w:val="center"/>
            <w:hideMark/>
          </w:tcPr>
          <w:p w14:paraId="15D5A3AC" w14:textId="77777777" w:rsidR="00151082" w:rsidRPr="00BF13E2" w:rsidRDefault="00151082" w:rsidP="00151082">
            <w:pPr>
              <w:jc w:val="center"/>
              <w:rPr>
                <w:rFonts w:cs="Arial"/>
                <w:color w:val="000000" w:themeColor="text1"/>
                <w:sz w:val="20"/>
                <w:szCs w:val="20"/>
                <w:lang w:eastAsia="en-GB"/>
              </w:rPr>
            </w:pPr>
            <w:r w:rsidRPr="00BF13E2">
              <w:rPr>
                <w:rFonts w:cs="Arial"/>
                <w:color w:val="000000" w:themeColor="text1"/>
                <w:sz w:val="20"/>
                <w:szCs w:val="20"/>
                <w:lang w:eastAsia="en-GB"/>
              </w:rPr>
              <w:t>£31.59</w:t>
            </w:r>
          </w:p>
        </w:tc>
        <w:tc>
          <w:tcPr>
            <w:tcW w:w="1329" w:type="dxa"/>
            <w:shd w:val="clear" w:color="auto" w:fill="FFFFFF" w:themeFill="background1"/>
            <w:vAlign w:val="center"/>
          </w:tcPr>
          <w:p w14:paraId="617B8159" w14:textId="2C65EA49" w:rsidR="00151082" w:rsidRPr="00F50B3B" w:rsidRDefault="00151082" w:rsidP="00151082">
            <w:pPr>
              <w:jc w:val="center"/>
              <w:rPr>
                <w:rFonts w:cs="Arial"/>
                <w:color w:val="000000" w:themeColor="text1"/>
                <w:sz w:val="20"/>
                <w:szCs w:val="20"/>
                <w:lang w:eastAsia="en-GB"/>
              </w:rPr>
            </w:pPr>
            <w:r w:rsidRPr="00F50B3B">
              <w:rPr>
                <w:rFonts w:cs="Arial"/>
                <w:color w:val="000000" w:themeColor="text1"/>
                <w:sz w:val="20"/>
                <w:szCs w:val="20"/>
                <w:lang w:eastAsia="en-GB"/>
              </w:rPr>
              <w:t>£33.74</w:t>
            </w:r>
          </w:p>
        </w:tc>
        <w:tc>
          <w:tcPr>
            <w:tcW w:w="1365" w:type="dxa"/>
            <w:shd w:val="clear" w:color="auto" w:fill="FFFFFF" w:themeFill="background1"/>
            <w:tcMar>
              <w:top w:w="30" w:type="dxa"/>
              <w:left w:w="45" w:type="dxa"/>
              <w:bottom w:w="30" w:type="dxa"/>
              <w:right w:w="45" w:type="dxa"/>
            </w:tcMar>
            <w:vAlign w:val="center"/>
            <w:hideMark/>
          </w:tcPr>
          <w:p w14:paraId="71AEDFA0" w14:textId="074EC612" w:rsidR="00151082" w:rsidRPr="00BF13E2" w:rsidRDefault="00151082" w:rsidP="00151082">
            <w:pPr>
              <w:jc w:val="center"/>
              <w:rPr>
                <w:rFonts w:cs="Arial"/>
                <w:color w:val="000000" w:themeColor="text1"/>
                <w:sz w:val="20"/>
                <w:szCs w:val="20"/>
                <w:lang w:eastAsia="en-GB"/>
              </w:rPr>
            </w:pPr>
            <w:r w:rsidRPr="000B3B81">
              <w:rPr>
                <w:rFonts w:cs="Arial"/>
                <w:color w:val="000000" w:themeColor="text1"/>
                <w:sz w:val="20"/>
                <w:szCs w:val="20"/>
                <w:lang w:eastAsia="en-GB"/>
              </w:rPr>
              <w:t>£33.74</w:t>
            </w:r>
          </w:p>
        </w:tc>
        <w:tc>
          <w:tcPr>
            <w:tcW w:w="1395" w:type="dxa"/>
            <w:shd w:val="clear" w:color="auto" w:fill="FFFFFF" w:themeFill="background1"/>
            <w:tcMar>
              <w:top w:w="30" w:type="dxa"/>
              <w:left w:w="45" w:type="dxa"/>
              <w:bottom w:w="30" w:type="dxa"/>
              <w:right w:w="45" w:type="dxa"/>
            </w:tcMar>
            <w:vAlign w:val="center"/>
          </w:tcPr>
          <w:p w14:paraId="3E619B77" w14:textId="3B782F18" w:rsidR="47AAD2E9" w:rsidRDefault="47AAD2E9"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51082" w:rsidRPr="00760171" w14:paraId="4A13DFD7"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20CB2C8E" w14:textId="77777777" w:rsidR="00151082" w:rsidRPr="00BF13E2" w:rsidRDefault="00151082" w:rsidP="00151082">
            <w:pPr>
              <w:rPr>
                <w:rFonts w:cs="Arial"/>
                <w:color w:val="000000" w:themeColor="text1"/>
                <w:sz w:val="20"/>
                <w:szCs w:val="20"/>
                <w:lang w:eastAsia="en-GB"/>
              </w:rPr>
            </w:pPr>
            <w:r w:rsidRPr="00BF13E2">
              <w:rPr>
                <w:rFonts w:cs="Arial"/>
                <w:color w:val="000000" w:themeColor="text1"/>
                <w:sz w:val="20"/>
                <w:szCs w:val="20"/>
                <w:lang w:eastAsia="en-GB"/>
              </w:rPr>
              <w:t>Sui Generis Assembly and leisure</w:t>
            </w:r>
          </w:p>
        </w:tc>
        <w:tc>
          <w:tcPr>
            <w:tcW w:w="1405" w:type="dxa"/>
            <w:shd w:val="clear" w:color="auto" w:fill="FFFFFF" w:themeFill="background1"/>
            <w:tcMar>
              <w:top w:w="30" w:type="dxa"/>
              <w:left w:w="45" w:type="dxa"/>
              <w:bottom w:w="30" w:type="dxa"/>
              <w:right w:w="45" w:type="dxa"/>
            </w:tcMar>
            <w:vAlign w:val="center"/>
            <w:hideMark/>
          </w:tcPr>
          <w:p w14:paraId="713EB5C9" w14:textId="77777777" w:rsidR="00151082" w:rsidRPr="00BF13E2" w:rsidRDefault="00151082" w:rsidP="00151082">
            <w:pPr>
              <w:jc w:val="center"/>
              <w:rPr>
                <w:rFonts w:cs="Arial"/>
                <w:color w:val="000000" w:themeColor="text1"/>
                <w:sz w:val="20"/>
                <w:szCs w:val="20"/>
                <w:lang w:eastAsia="en-GB"/>
              </w:rPr>
            </w:pPr>
            <w:r w:rsidRPr="00BF13E2">
              <w:rPr>
                <w:rFonts w:cs="Arial"/>
                <w:color w:val="000000" w:themeColor="text1"/>
                <w:sz w:val="20"/>
                <w:szCs w:val="20"/>
                <w:lang w:eastAsia="en-GB"/>
              </w:rPr>
              <w:t>£31.59</w:t>
            </w:r>
          </w:p>
        </w:tc>
        <w:tc>
          <w:tcPr>
            <w:tcW w:w="1329" w:type="dxa"/>
            <w:shd w:val="clear" w:color="auto" w:fill="FFFFFF" w:themeFill="background1"/>
            <w:vAlign w:val="center"/>
          </w:tcPr>
          <w:p w14:paraId="19F4CEE6" w14:textId="02B92074" w:rsidR="00151082" w:rsidRPr="00F50B3B" w:rsidRDefault="00151082" w:rsidP="00151082">
            <w:pPr>
              <w:jc w:val="center"/>
              <w:rPr>
                <w:rFonts w:cs="Arial"/>
                <w:color w:val="000000" w:themeColor="text1"/>
                <w:sz w:val="20"/>
                <w:szCs w:val="20"/>
                <w:lang w:eastAsia="en-GB"/>
              </w:rPr>
            </w:pPr>
            <w:r w:rsidRPr="00F50B3B">
              <w:rPr>
                <w:rFonts w:cs="Arial"/>
                <w:color w:val="000000" w:themeColor="text1"/>
                <w:sz w:val="20"/>
                <w:szCs w:val="20"/>
                <w:lang w:eastAsia="en-GB"/>
              </w:rPr>
              <w:t>£33.74</w:t>
            </w:r>
          </w:p>
        </w:tc>
        <w:tc>
          <w:tcPr>
            <w:tcW w:w="1365" w:type="dxa"/>
            <w:shd w:val="clear" w:color="auto" w:fill="FFFFFF" w:themeFill="background1"/>
            <w:tcMar>
              <w:top w:w="30" w:type="dxa"/>
              <w:left w:w="45" w:type="dxa"/>
              <w:bottom w:w="30" w:type="dxa"/>
              <w:right w:w="45" w:type="dxa"/>
            </w:tcMar>
            <w:vAlign w:val="center"/>
            <w:hideMark/>
          </w:tcPr>
          <w:p w14:paraId="48EF7D4F" w14:textId="57DF4E7A" w:rsidR="00151082" w:rsidRPr="00BF13E2" w:rsidRDefault="00151082" w:rsidP="00151082">
            <w:pPr>
              <w:jc w:val="center"/>
              <w:rPr>
                <w:rFonts w:cs="Arial"/>
                <w:color w:val="000000" w:themeColor="text1"/>
                <w:sz w:val="20"/>
                <w:szCs w:val="20"/>
                <w:lang w:eastAsia="en-GB"/>
              </w:rPr>
            </w:pPr>
            <w:r w:rsidRPr="000B3B81">
              <w:rPr>
                <w:rFonts w:cs="Arial"/>
                <w:color w:val="000000" w:themeColor="text1"/>
                <w:sz w:val="20"/>
                <w:szCs w:val="20"/>
                <w:lang w:eastAsia="en-GB"/>
              </w:rPr>
              <w:t>£33.74</w:t>
            </w:r>
          </w:p>
        </w:tc>
        <w:tc>
          <w:tcPr>
            <w:tcW w:w="1395" w:type="dxa"/>
            <w:shd w:val="clear" w:color="auto" w:fill="FFFFFF" w:themeFill="background1"/>
            <w:tcMar>
              <w:top w:w="30" w:type="dxa"/>
              <w:left w:w="45" w:type="dxa"/>
              <w:bottom w:w="30" w:type="dxa"/>
              <w:right w:w="45" w:type="dxa"/>
            </w:tcMar>
            <w:vAlign w:val="center"/>
          </w:tcPr>
          <w:p w14:paraId="2ADB3C46" w14:textId="3F79FA0E" w:rsidR="3809BF98" w:rsidRDefault="3809BF98"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r w:rsidR="00151082" w:rsidRPr="00760171" w14:paraId="5B3065C3" w14:textId="77777777" w:rsidTr="53C9A66A">
        <w:trPr>
          <w:trHeight w:val="300"/>
          <w:jc w:val="center"/>
        </w:trPr>
        <w:tc>
          <w:tcPr>
            <w:tcW w:w="3698" w:type="dxa"/>
            <w:shd w:val="clear" w:color="auto" w:fill="FFFFFF" w:themeFill="background1"/>
            <w:tcMar>
              <w:top w:w="30" w:type="dxa"/>
              <w:left w:w="45" w:type="dxa"/>
              <w:bottom w:w="30" w:type="dxa"/>
              <w:right w:w="45" w:type="dxa"/>
            </w:tcMar>
            <w:hideMark/>
          </w:tcPr>
          <w:p w14:paraId="11CB80A4" w14:textId="77777777" w:rsidR="00151082" w:rsidRPr="00BF13E2" w:rsidRDefault="00151082" w:rsidP="00151082">
            <w:pPr>
              <w:rPr>
                <w:rFonts w:cs="Arial"/>
                <w:color w:val="000000" w:themeColor="text1"/>
                <w:sz w:val="20"/>
                <w:szCs w:val="20"/>
                <w:lang w:eastAsia="en-GB"/>
              </w:rPr>
            </w:pPr>
            <w:r w:rsidRPr="00BF13E2">
              <w:rPr>
                <w:rFonts w:cs="Arial"/>
                <w:color w:val="000000" w:themeColor="text1"/>
                <w:sz w:val="20"/>
                <w:szCs w:val="20"/>
                <w:lang w:eastAsia="en-GB"/>
              </w:rPr>
              <w:t>All development types unless stated otherwise in this table</w:t>
            </w:r>
          </w:p>
        </w:tc>
        <w:tc>
          <w:tcPr>
            <w:tcW w:w="1405" w:type="dxa"/>
            <w:shd w:val="clear" w:color="auto" w:fill="FFFFFF" w:themeFill="background1"/>
            <w:tcMar>
              <w:top w:w="30" w:type="dxa"/>
              <w:left w:w="45" w:type="dxa"/>
              <w:bottom w:w="30" w:type="dxa"/>
              <w:right w:w="45" w:type="dxa"/>
            </w:tcMar>
            <w:vAlign w:val="center"/>
            <w:hideMark/>
          </w:tcPr>
          <w:p w14:paraId="2A5DE4FA" w14:textId="77777777" w:rsidR="00151082" w:rsidRPr="00BF13E2" w:rsidRDefault="00151082" w:rsidP="00151082">
            <w:pPr>
              <w:jc w:val="center"/>
              <w:rPr>
                <w:rFonts w:cs="Arial"/>
                <w:color w:val="000000" w:themeColor="text1"/>
                <w:sz w:val="20"/>
                <w:szCs w:val="20"/>
                <w:lang w:eastAsia="en-GB"/>
              </w:rPr>
            </w:pPr>
            <w:r w:rsidRPr="00BF13E2">
              <w:rPr>
                <w:rFonts w:cs="Arial"/>
                <w:color w:val="000000" w:themeColor="text1"/>
                <w:sz w:val="20"/>
                <w:szCs w:val="20"/>
                <w:lang w:eastAsia="en-GB"/>
              </w:rPr>
              <w:t>£31.59</w:t>
            </w:r>
          </w:p>
        </w:tc>
        <w:tc>
          <w:tcPr>
            <w:tcW w:w="1329" w:type="dxa"/>
            <w:shd w:val="clear" w:color="auto" w:fill="FFFFFF" w:themeFill="background1"/>
            <w:vAlign w:val="center"/>
          </w:tcPr>
          <w:p w14:paraId="1C2CE9D7" w14:textId="0DEBF25F" w:rsidR="00151082" w:rsidRPr="00F50B3B" w:rsidRDefault="00151082" w:rsidP="00151082">
            <w:pPr>
              <w:jc w:val="center"/>
              <w:rPr>
                <w:rFonts w:cs="Arial"/>
                <w:color w:val="000000" w:themeColor="text1"/>
                <w:sz w:val="20"/>
                <w:szCs w:val="20"/>
                <w:lang w:eastAsia="en-GB"/>
              </w:rPr>
            </w:pPr>
            <w:r w:rsidRPr="00F50B3B">
              <w:rPr>
                <w:rFonts w:cs="Arial"/>
                <w:color w:val="000000" w:themeColor="text1"/>
                <w:sz w:val="20"/>
                <w:szCs w:val="20"/>
                <w:lang w:eastAsia="en-GB"/>
              </w:rPr>
              <w:t>£33.74</w:t>
            </w:r>
          </w:p>
        </w:tc>
        <w:tc>
          <w:tcPr>
            <w:tcW w:w="1365" w:type="dxa"/>
            <w:shd w:val="clear" w:color="auto" w:fill="FFFFFF" w:themeFill="background1"/>
            <w:tcMar>
              <w:top w:w="30" w:type="dxa"/>
              <w:left w:w="45" w:type="dxa"/>
              <w:bottom w:w="30" w:type="dxa"/>
              <w:right w:w="45" w:type="dxa"/>
            </w:tcMar>
            <w:vAlign w:val="center"/>
            <w:hideMark/>
          </w:tcPr>
          <w:p w14:paraId="094E0502" w14:textId="23F37091" w:rsidR="00151082" w:rsidRPr="00BF13E2" w:rsidRDefault="00151082" w:rsidP="00151082">
            <w:pPr>
              <w:jc w:val="center"/>
              <w:rPr>
                <w:rFonts w:cs="Arial"/>
                <w:color w:val="000000" w:themeColor="text1"/>
                <w:sz w:val="20"/>
                <w:szCs w:val="20"/>
                <w:lang w:eastAsia="en-GB"/>
              </w:rPr>
            </w:pPr>
            <w:r w:rsidRPr="000B3B81">
              <w:rPr>
                <w:rFonts w:cs="Arial"/>
                <w:color w:val="000000" w:themeColor="text1"/>
                <w:sz w:val="20"/>
                <w:szCs w:val="20"/>
                <w:lang w:eastAsia="en-GB"/>
              </w:rPr>
              <w:t>£33.74</w:t>
            </w:r>
          </w:p>
        </w:tc>
        <w:tc>
          <w:tcPr>
            <w:tcW w:w="1395" w:type="dxa"/>
            <w:shd w:val="clear" w:color="auto" w:fill="FFFFFF" w:themeFill="background1"/>
            <w:tcMar>
              <w:top w:w="30" w:type="dxa"/>
              <w:left w:w="45" w:type="dxa"/>
              <w:bottom w:w="30" w:type="dxa"/>
              <w:right w:w="45" w:type="dxa"/>
            </w:tcMar>
            <w:vAlign w:val="center"/>
          </w:tcPr>
          <w:p w14:paraId="75C22F4F" w14:textId="3F6A6B00" w:rsidR="6B3F27D9" w:rsidRDefault="6B3F27D9" w:rsidP="53C9A66A">
            <w:pPr>
              <w:jc w:val="center"/>
              <w:rPr>
                <w:rFonts w:cs="Arial"/>
                <w:color w:val="000000" w:themeColor="text1"/>
                <w:sz w:val="20"/>
                <w:szCs w:val="20"/>
                <w:lang w:eastAsia="en-GB"/>
              </w:rPr>
            </w:pPr>
            <w:r w:rsidRPr="53C9A66A">
              <w:rPr>
                <w:rFonts w:cs="Arial"/>
                <w:color w:val="000000" w:themeColor="text1"/>
                <w:sz w:val="20"/>
                <w:szCs w:val="20"/>
                <w:lang w:eastAsia="en-GB"/>
              </w:rPr>
              <w:t>£34.45</w:t>
            </w:r>
          </w:p>
        </w:tc>
      </w:tr>
    </w:tbl>
    <w:p w14:paraId="31587FB7" w14:textId="77777777" w:rsidR="000202B6" w:rsidRDefault="000202B6" w:rsidP="000202B6">
      <w:pPr>
        <w:rPr>
          <w:rFonts w:ascii="Helvetica" w:eastAsia="Helvetica" w:hAnsi="Helvetica" w:cs="Helvetica"/>
          <w:color w:val="000000" w:themeColor="text1"/>
          <w:sz w:val="22"/>
          <w:szCs w:val="22"/>
        </w:rPr>
      </w:pPr>
    </w:p>
    <w:p w14:paraId="60693FF7" w14:textId="0BD97B36" w:rsidR="000202B6" w:rsidRPr="000202B6" w:rsidRDefault="000202B6" w:rsidP="000202B6">
      <w:pPr>
        <w:rPr>
          <w:rFonts w:eastAsia="Helvetica" w:cs="Arial"/>
          <w:color w:val="000000" w:themeColor="text1"/>
          <w:sz w:val="20"/>
          <w:szCs w:val="20"/>
        </w:rPr>
      </w:pPr>
      <w:r w:rsidRPr="000202B6">
        <w:rPr>
          <w:rFonts w:eastAsia="Helvetica" w:cs="Arial"/>
          <w:color w:val="000000" w:themeColor="text1"/>
          <w:sz w:val="20"/>
          <w:szCs w:val="20"/>
        </w:rPr>
        <w:t>*Changes to the Use Class Order came into effect 1 September 2020</w:t>
      </w:r>
    </w:p>
    <w:p w14:paraId="5FE0361E" w14:textId="62DC1EC4" w:rsidR="00AD051D" w:rsidRPr="000C168B" w:rsidRDefault="000202B6">
      <w:pPr>
        <w:rPr>
          <w:rFonts w:eastAsia="Helvetica" w:cs="Arial"/>
          <w:color w:val="000000" w:themeColor="text1"/>
          <w:sz w:val="20"/>
          <w:szCs w:val="20"/>
        </w:rPr>
      </w:pPr>
      <w:r w:rsidRPr="53C9A66A">
        <w:rPr>
          <w:rFonts w:eastAsia="Helvetica" w:cs="Arial"/>
          <w:color w:val="000000" w:themeColor="text1"/>
          <w:sz w:val="20"/>
          <w:szCs w:val="20"/>
        </w:rPr>
        <w:t>**C3 includes self-contained sheltered accommodation and self-contained graduate accommodatio</w:t>
      </w:r>
      <w:r w:rsidR="009B2D77" w:rsidRPr="53C9A66A">
        <w:rPr>
          <w:rFonts w:eastAsia="Helvetica" w:cs="Arial"/>
          <w:color w:val="000000" w:themeColor="text1"/>
          <w:sz w:val="20"/>
          <w:szCs w:val="20"/>
        </w:rPr>
        <w:t>n</w:t>
      </w:r>
    </w:p>
    <w:p w14:paraId="3C42D404" w14:textId="613E140E" w:rsidR="389F180E" w:rsidRDefault="389F180E" w:rsidP="53C9A66A">
      <w:pPr>
        <w:rPr>
          <w:rFonts w:eastAsia="Helvetica" w:cs="Arial"/>
          <w:color w:val="000000" w:themeColor="text1"/>
          <w:sz w:val="20"/>
          <w:szCs w:val="20"/>
        </w:rPr>
        <w:sectPr w:rsidR="389F180E" w:rsidSect="00711F38">
          <w:headerReference w:type="default" r:id="rId12"/>
          <w:footerReference w:type="even" r:id="rId13"/>
          <w:footerReference w:type="default" r:id="rId14"/>
          <w:headerReference w:type="first" r:id="rId15"/>
          <w:footerReference w:type="first" r:id="rId16"/>
          <w:type w:val="continuous"/>
          <w:pgSz w:w="11906" w:h="16838" w:code="9"/>
          <w:pgMar w:top="90" w:right="1416" w:bottom="1276" w:left="1418" w:header="709" w:footer="17" w:gutter="0"/>
          <w:pgNumType w:start="1"/>
          <w:cols w:space="708"/>
          <w:titlePg/>
          <w:docGrid w:linePitch="360"/>
        </w:sectPr>
      </w:pPr>
      <w:r w:rsidRPr="53C9A66A">
        <w:rPr>
          <w:rFonts w:eastAsia="Helvetica" w:cs="Arial"/>
          <w:color w:val="000000" w:themeColor="text1"/>
          <w:sz w:val="20"/>
          <w:szCs w:val="20"/>
        </w:rPr>
        <w:t>*** New rate from August 2025</w:t>
      </w:r>
    </w:p>
    <w:p w14:paraId="199E15BF" w14:textId="707E1F03" w:rsidR="00621B0F" w:rsidRPr="00861F56" w:rsidRDefault="00621B0F" w:rsidP="724A7E7E">
      <w:pPr>
        <w:rPr>
          <w:rFonts w:ascii="Calibri" w:hAnsi="Calibri" w:cs="Arial"/>
          <w:b/>
          <w:bCs/>
          <w:color w:val="007373"/>
        </w:rPr>
      </w:pPr>
      <w:r w:rsidRPr="214D9325">
        <w:rPr>
          <w:rFonts w:ascii="Calibri" w:hAnsi="Calibri" w:cs="Arial"/>
          <w:b/>
          <w:bCs/>
          <w:color w:val="007373"/>
        </w:rPr>
        <w:t xml:space="preserve">CIL liability </w:t>
      </w:r>
    </w:p>
    <w:p w14:paraId="34427E9D" w14:textId="77777777" w:rsidR="00621B0F" w:rsidRPr="004D2CED" w:rsidRDefault="00621B0F" w:rsidP="00A74976">
      <w:pPr>
        <w:numPr>
          <w:ilvl w:val="0"/>
          <w:numId w:val="8"/>
        </w:numPr>
        <w:rPr>
          <w:rFonts w:ascii="Calibri" w:hAnsi="Calibri" w:cs="Arial"/>
        </w:rPr>
      </w:pPr>
      <w:r w:rsidRPr="31522B7C">
        <w:rPr>
          <w:rFonts w:ascii="Calibri" w:hAnsi="Calibri" w:cs="Arial"/>
        </w:rPr>
        <w:t xml:space="preserve">Development liable for CIL payment comprises: </w:t>
      </w:r>
    </w:p>
    <w:p w14:paraId="69AE76C8" w14:textId="77777777" w:rsidR="00621B0F" w:rsidRPr="004D2CED" w:rsidRDefault="00621B0F" w:rsidP="00A74976">
      <w:pPr>
        <w:numPr>
          <w:ilvl w:val="0"/>
          <w:numId w:val="6"/>
        </w:numPr>
        <w:tabs>
          <w:tab w:val="clear" w:pos="540"/>
          <w:tab w:val="num" w:pos="1080"/>
        </w:tabs>
        <w:ind w:left="1080"/>
        <w:rPr>
          <w:rFonts w:ascii="Calibri" w:hAnsi="Calibri" w:cs="Arial"/>
        </w:rPr>
      </w:pPr>
      <w:r w:rsidRPr="004D2CED">
        <w:rPr>
          <w:rFonts w:ascii="Calibri" w:hAnsi="Calibri" w:cs="Arial"/>
        </w:rPr>
        <w:t>Development that creates 100m</w:t>
      </w:r>
      <w:r w:rsidRPr="004D2CED">
        <w:rPr>
          <w:rFonts w:ascii="Calibri" w:hAnsi="Calibri" w:cs="Arial"/>
          <w:vertAlign w:val="superscript"/>
        </w:rPr>
        <w:t>2</w:t>
      </w:r>
      <w:r w:rsidRPr="004D2CED">
        <w:rPr>
          <w:rFonts w:ascii="Calibri" w:hAnsi="Calibri" w:cs="Arial"/>
        </w:rPr>
        <w:t xml:space="preserve"> or more of new build floor space measured as Gross Internal Floor Area (GIA). </w:t>
      </w:r>
    </w:p>
    <w:p w14:paraId="0F5DB236" w14:textId="77777777" w:rsidR="00621B0F" w:rsidRPr="004D2CED" w:rsidRDefault="00621B0F" w:rsidP="00A74976">
      <w:pPr>
        <w:numPr>
          <w:ilvl w:val="0"/>
          <w:numId w:val="6"/>
        </w:numPr>
        <w:tabs>
          <w:tab w:val="clear" w:pos="540"/>
          <w:tab w:val="num" w:pos="1080"/>
        </w:tabs>
        <w:ind w:left="1080"/>
        <w:rPr>
          <w:rFonts w:ascii="Calibri" w:hAnsi="Calibri" w:cs="Arial"/>
        </w:rPr>
      </w:pPr>
      <w:r w:rsidRPr="004D2CED">
        <w:rPr>
          <w:rFonts w:ascii="Calibri" w:hAnsi="Calibri" w:cs="Arial"/>
        </w:rPr>
        <w:t>Development of less than 100m</w:t>
      </w:r>
      <w:r w:rsidRPr="004D2CED">
        <w:rPr>
          <w:rFonts w:ascii="Calibri" w:hAnsi="Calibri" w:cs="Arial"/>
          <w:vertAlign w:val="superscript"/>
        </w:rPr>
        <w:t>2</w:t>
      </w:r>
      <w:r w:rsidRPr="004D2CED">
        <w:rPr>
          <w:rFonts w:ascii="Calibri" w:hAnsi="Calibri" w:cs="Arial"/>
        </w:rPr>
        <w:t xml:space="preserve"> new build GIA that results in the creation of one or more dwellings.</w:t>
      </w:r>
    </w:p>
    <w:p w14:paraId="79D0B7A4" w14:textId="77777777" w:rsidR="00621B0F" w:rsidRPr="004D2CED" w:rsidRDefault="00621B0F" w:rsidP="00A74976">
      <w:pPr>
        <w:numPr>
          <w:ilvl w:val="0"/>
          <w:numId w:val="6"/>
        </w:numPr>
        <w:tabs>
          <w:tab w:val="clear" w:pos="540"/>
          <w:tab w:val="num" w:pos="1080"/>
        </w:tabs>
        <w:ind w:left="1080"/>
        <w:rPr>
          <w:rFonts w:ascii="Calibri" w:hAnsi="Calibri" w:cs="Arial"/>
        </w:rPr>
      </w:pPr>
      <w:r w:rsidRPr="004D2CED">
        <w:rPr>
          <w:rFonts w:ascii="Calibri" w:hAnsi="Calibri" w:cs="Arial"/>
        </w:rPr>
        <w:t>The conversion of a building that is no longer in lawful use.</w:t>
      </w:r>
    </w:p>
    <w:p w14:paraId="6BD18F9B" w14:textId="77777777" w:rsidR="00621B0F" w:rsidRDefault="00621B0F" w:rsidP="00621B0F">
      <w:pPr>
        <w:rPr>
          <w:rFonts w:ascii="Calibri" w:hAnsi="Calibri" w:cs="Arial"/>
        </w:rPr>
      </w:pPr>
    </w:p>
    <w:p w14:paraId="63245EF2" w14:textId="77777777" w:rsidR="00397D09" w:rsidRPr="004D2CED" w:rsidRDefault="00621B0F" w:rsidP="00A74976">
      <w:pPr>
        <w:numPr>
          <w:ilvl w:val="0"/>
          <w:numId w:val="8"/>
        </w:numPr>
        <w:rPr>
          <w:rFonts w:ascii="Calibri" w:hAnsi="Calibri" w:cs="Arial"/>
        </w:rPr>
      </w:pPr>
      <w:r>
        <w:rPr>
          <w:rFonts w:ascii="Calibri" w:hAnsi="Calibri" w:cs="Arial"/>
        </w:rPr>
        <w:t>Liability to pay CIL</w:t>
      </w:r>
      <w:r w:rsidRPr="004D2CED">
        <w:rPr>
          <w:rFonts w:ascii="Calibri" w:hAnsi="Calibri" w:cs="Arial"/>
        </w:rPr>
        <w:t xml:space="preserve"> on qualifying developments </w:t>
      </w:r>
      <w:r>
        <w:rPr>
          <w:rFonts w:ascii="Calibri" w:hAnsi="Calibri" w:cs="Arial"/>
        </w:rPr>
        <w:t xml:space="preserve">applies </w:t>
      </w:r>
      <w:r w:rsidRPr="004D2CED">
        <w:rPr>
          <w:rFonts w:ascii="Calibri" w:hAnsi="Calibri" w:cs="Arial"/>
        </w:rPr>
        <w:t xml:space="preserve">whether </w:t>
      </w:r>
      <w:r>
        <w:rPr>
          <w:rFonts w:ascii="Calibri" w:hAnsi="Calibri" w:cs="Arial"/>
        </w:rPr>
        <w:t>development</w:t>
      </w:r>
      <w:r w:rsidRPr="004D2CED">
        <w:rPr>
          <w:rFonts w:ascii="Calibri" w:hAnsi="Calibri" w:cs="Arial"/>
        </w:rPr>
        <w:t xml:space="preserve"> require</w:t>
      </w:r>
      <w:r>
        <w:rPr>
          <w:rFonts w:ascii="Calibri" w:hAnsi="Calibri" w:cs="Arial"/>
        </w:rPr>
        <w:t>s</w:t>
      </w:r>
      <w:r w:rsidRPr="004D2CED">
        <w:rPr>
          <w:rFonts w:ascii="Calibri" w:hAnsi="Calibri" w:cs="Arial"/>
        </w:rPr>
        <w:t xml:space="preserve"> planning permission or </w:t>
      </w:r>
      <w:r>
        <w:rPr>
          <w:rFonts w:ascii="Calibri" w:hAnsi="Calibri" w:cs="Arial"/>
        </w:rPr>
        <w:t>is</w:t>
      </w:r>
      <w:r w:rsidRPr="004D2CED">
        <w:rPr>
          <w:rFonts w:ascii="Calibri" w:hAnsi="Calibri" w:cs="Arial"/>
        </w:rPr>
        <w:t xml:space="preserve"> enabled through permitted development orders (General Permitted Development Order, Local Development Orders, </w:t>
      </w:r>
      <w:r w:rsidR="00A5392D">
        <w:rPr>
          <w:rFonts w:ascii="Calibri" w:hAnsi="Calibri" w:cs="Arial"/>
        </w:rPr>
        <w:t xml:space="preserve">Neighbourhood Development Orders, </w:t>
      </w:r>
      <w:r w:rsidRPr="004D2CED">
        <w:rPr>
          <w:rFonts w:ascii="Calibri" w:hAnsi="Calibri" w:cs="Arial"/>
        </w:rPr>
        <w:t>Enterprise Zones)</w:t>
      </w:r>
      <w:r w:rsidRPr="004D2CED">
        <w:rPr>
          <w:rStyle w:val="FootnoteReference"/>
          <w:rFonts w:ascii="Calibri" w:hAnsi="Calibri" w:cs="Arial"/>
        </w:rPr>
        <w:footnoteReference w:id="2"/>
      </w:r>
    </w:p>
    <w:p w14:paraId="238601FE" w14:textId="77777777" w:rsidR="00621B0F" w:rsidRDefault="00621B0F" w:rsidP="00621B0F">
      <w:pPr>
        <w:rPr>
          <w:rFonts w:ascii="Calibri" w:hAnsi="Calibri" w:cs="Arial"/>
        </w:rPr>
      </w:pPr>
    </w:p>
    <w:p w14:paraId="2EA0D722" w14:textId="77777777" w:rsidR="00621B0F" w:rsidRPr="00861F56" w:rsidRDefault="00621B0F" w:rsidP="00621B0F">
      <w:pPr>
        <w:rPr>
          <w:rFonts w:ascii="Calibri" w:hAnsi="Calibri" w:cs="Arial"/>
          <w:b/>
          <w:color w:val="007373"/>
        </w:rPr>
      </w:pPr>
      <w:r w:rsidRPr="00861F56">
        <w:rPr>
          <w:rFonts w:ascii="Calibri" w:hAnsi="Calibri" w:cs="Arial"/>
          <w:b/>
          <w:color w:val="007373"/>
        </w:rPr>
        <w:t>CIL exemptions</w:t>
      </w:r>
    </w:p>
    <w:p w14:paraId="7EC83FE1" w14:textId="77777777" w:rsidR="00621B0F" w:rsidRPr="004D2CED" w:rsidRDefault="00621B0F" w:rsidP="00A74976">
      <w:pPr>
        <w:numPr>
          <w:ilvl w:val="0"/>
          <w:numId w:val="8"/>
        </w:numPr>
        <w:rPr>
          <w:rFonts w:ascii="Calibri" w:hAnsi="Calibri" w:cs="Arial"/>
        </w:rPr>
      </w:pPr>
      <w:r w:rsidRPr="31522B7C">
        <w:rPr>
          <w:rFonts w:ascii="Calibri" w:hAnsi="Calibri" w:cs="Arial"/>
        </w:rPr>
        <w:t>CIL charges will not be levied on:</w:t>
      </w:r>
    </w:p>
    <w:p w14:paraId="6CE83604" w14:textId="77777777" w:rsidR="00621B0F" w:rsidRDefault="00621B0F" w:rsidP="00A74976">
      <w:pPr>
        <w:numPr>
          <w:ilvl w:val="0"/>
          <w:numId w:val="7"/>
        </w:numPr>
        <w:tabs>
          <w:tab w:val="clear" w:pos="0"/>
          <w:tab w:val="num" w:pos="1080"/>
        </w:tabs>
        <w:ind w:left="1080"/>
        <w:rPr>
          <w:rFonts w:ascii="Calibri" w:hAnsi="Calibri" w:cs="Arial"/>
        </w:rPr>
      </w:pPr>
      <w:r>
        <w:rPr>
          <w:rFonts w:ascii="Calibri" w:hAnsi="Calibri" w:cs="Arial"/>
        </w:rPr>
        <w:t xml:space="preserve">Development that creates less than </w:t>
      </w:r>
      <w:r w:rsidRPr="004D2CED">
        <w:rPr>
          <w:rFonts w:ascii="Calibri" w:hAnsi="Calibri" w:cs="Arial"/>
        </w:rPr>
        <w:t>100m</w:t>
      </w:r>
      <w:r w:rsidRPr="004D2CED">
        <w:rPr>
          <w:rFonts w:ascii="Calibri" w:hAnsi="Calibri" w:cs="Arial"/>
          <w:vertAlign w:val="superscript"/>
        </w:rPr>
        <w:t>2</w:t>
      </w:r>
      <w:r w:rsidRPr="004D2CED">
        <w:rPr>
          <w:rFonts w:ascii="Calibri" w:hAnsi="Calibri" w:cs="Arial"/>
        </w:rPr>
        <w:t xml:space="preserve"> of new build floor space measured as </w:t>
      </w:r>
      <w:r>
        <w:rPr>
          <w:rFonts w:ascii="Calibri" w:hAnsi="Calibri" w:cs="Arial"/>
        </w:rPr>
        <w:t>GIA and does not result in the cr</w:t>
      </w:r>
      <w:r w:rsidR="00435B32">
        <w:rPr>
          <w:rFonts w:ascii="Calibri" w:hAnsi="Calibri" w:cs="Arial"/>
        </w:rPr>
        <w:t>eation of one or more dwellings;</w:t>
      </w:r>
    </w:p>
    <w:p w14:paraId="59C23B26" w14:textId="120A3062" w:rsidR="00621B0F" w:rsidRPr="004D2CED" w:rsidRDefault="00621B0F" w:rsidP="00A74976">
      <w:pPr>
        <w:numPr>
          <w:ilvl w:val="0"/>
          <w:numId w:val="7"/>
        </w:numPr>
        <w:tabs>
          <w:tab w:val="clear" w:pos="0"/>
          <w:tab w:val="num" w:pos="1080"/>
        </w:tabs>
        <w:ind w:left="1080"/>
        <w:rPr>
          <w:rFonts w:ascii="Calibri" w:hAnsi="Calibri" w:cs="Arial"/>
        </w:rPr>
      </w:pPr>
      <w:r w:rsidRPr="004D2CED">
        <w:rPr>
          <w:rFonts w:ascii="Calibri" w:hAnsi="Calibri" w:cs="Arial"/>
        </w:rPr>
        <w:t xml:space="preserve">Buildings into which people do not normally go, or </w:t>
      </w:r>
      <w:r w:rsidR="00B655F6">
        <w:rPr>
          <w:rFonts w:ascii="Calibri" w:hAnsi="Calibri" w:cs="Arial"/>
        </w:rPr>
        <w:t>a building into which people go only intermittently for the purpose of inspecting or maintaining fixed plant or machinery</w:t>
      </w:r>
      <w:r w:rsidR="005D443A">
        <w:rPr>
          <w:rFonts w:ascii="Calibri" w:hAnsi="Calibri" w:cs="Arial"/>
        </w:rPr>
        <w:t>;</w:t>
      </w:r>
      <w:r w:rsidRPr="004D2CED">
        <w:rPr>
          <w:rStyle w:val="FootnoteReference"/>
          <w:rFonts w:ascii="Calibri" w:hAnsi="Calibri" w:cs="Arial"/>
        </w:rPr>
        <w:footnoteReference w:id="3"/>
      </w:r>
    </w:p>
    <w:p w14:paraId="22642686" w14:textId="77777777" w:rsidR="00621B0F" w:rsidRPr="004D2CED" w:rsidRDefault="00621B0F" w:rsidP="00A74976">
      <w:pPr>
        <w:numPr>
          <w:ilvl w:val="0"/>
          <w:numId w:val="7"/>
        </w:numPr>
        <w:tabs>
          <w:tab w:val="clear" w:pos="0"/>
          <w:tab w:val="num" w:pos="1080"/>
        </w:tabs>
        <w:ind w:left="1080"/>
        <w:rPr>
          <w:rFonts w:ascii="Calibri" w:hAnsi="Calibri" w:cs="Arial"/>
        </w:rPr>
      </w:pPr>
      <w:r w:rsidRPr="004D2CED">
        <w:rPr>
          <w:rFonts w:ascii="Calibri" w:hAnsi="Calibri" w:cs="Arial"/>
        </w:rPr>
        <w:t>Buildings for which planning permission was granted for a limited period.</w:t>
      </w:r>
    </w:p>
    <w:p w14:paraId="55B96386" w14:textId="77777777" w:rsidR="00621B0F" w:rsidRPr="004D2CED" w:rsidRDefault="00621B0F" w:rsidP="00A74976">
      <w:pPr>
        <w:numPr>
          <w:ilvl w:val="0"/>
          <w:numId w:val="7"/>
        </w:numPr>
        <w:tabs>
          <w:tab w:val="clear" w:pos="0"/>
          <w:tab w:val="num" w:pos="1080"/>
        </w:tabs>
        <w:ind w:left="1080"/>
        <w:rPr>
          <w:rFonts w:ascii="Calibri" w:hAnsi="Calibri" w:cs="Arial"/>
        </w:rPr>
      </w:pPr>
      <w:r w:rsidRPr="004D2CED">
        <w:rPr>
          <w:rFonts w:ascii="Calibri" w:hAnsi="Calibri" w:cs="Arial"/>
        </w:rPr>
        <w:t>Affordable housing, subject to an application by a landowner for CIL relief</w:t>
      </w:r>
      <w:r w:rsidR="0054129F">
        <w:rPr>
          <w:rFonts w:ascii="Calibri" w:hAnsi="Calibri" w:cs="Arial"/>
        </w:rPr>
        <w:t xml:space="preserve"> (CIL regulation 49)</w:t>
      </w:r>
      <w:r w:rsidR="00435B32">
        <w:rPr>
          <w:rFonts w:ascii="Calibri" w:hAnsi="Calibri" w:cs="Arial"/>
        </w:rPr>
        <w:t>;</w:t>
      </w:r>
    </w:p>
    <w:p w14:paraId="74DEF361" w14:textId="77777777" w:rsidR="00621B0F" w:rsidRDefault="00621B0F" w:rsidP="00A74976">
      <w:pPr>
        <w:numPr>
          <w:ilvl w:val="0"/>
          <w:numId w:val="7"/>
        </w:numPr>
        <w:tabs>
          <w:tab w:val="clear" w:pos="0"/>
          <w:tab w:val="num" w:pos="1080"/>
        </w:tabs>
        <w:ind w:left="1080"/>
        <w:rPr>
          <w:rFonts w:ascii="Calibri" w:hAnsi="Calibri" w:cs="Arial"/>
        </w:rPr>
      </w:pPr>
      <w:r w:rsidRPr="004D2CED">
        <w:rPr>
          <w:rFonts w:ascii="Calibri" w:hAnsi="Calibri" w:cs="Arial"/>
        </w:rPr>
        <w:t>Development by charities for charitable purposes subject to an application by a charity landowner for CIL relief</w:t>
      </w:r>
      <w:r w:rsidR="0054129F">
        <w:rPr>
          <w:rFonts w:ascii="Calibri" w:hAnsi="Calibri" w:cs="Arial"/>
        </w:rPr>
        <w:t xml:space="preserve"> (CIL regulation 43)</w:t>
      </w:r>
      <w:r w:rsidR="00EC3ED5">
        <w:rPr>
          <w:rFonts w:ascii="Calibri" w:hAnsi="Calibri" w:cs="Arial"/>
        </w:rPr>
        <w:t xml:space="preserve"> (mandatory charitable relief)</w:t>
      </w:r>
      <w:r w:rsidR="00435B32">
        <w:rPr>
          <w:rFonts w:ascii="Calibri" w:hAnsi="Calibri" w:cs="Arial"/>
        </w:rPr>
        <w:t>;</w:t>
      </w:r>
    </w:p>
    <w:p w14:paraId="204BFA1E" w14:textId="429933BA" w:rsidR="00D841DE" w:rsidRPr="00C7785F" w:rsidRDefault="00D841DE" w:rsidP="00A74976">
      <w:pPr>
        <w:numPr>
          <w:ilvl w:val="0"/>
          <w:numId w:val="7"/>
        </w:numPr>
        <w:tabs>
          <w:tab w:val="clear" w:pos="0"/>
          <w:tab w:val="num" w:pos="1080"/>
        </w:tabs>
        <w:ind w:left="1080"/>
        <w:rPr>
          <w:rFonts w:ascii="Calibri" w:hAnsi="Calibri" w:cs="Arial"/>
        </w:rPr>
      </w:pPr>
      <w:r w:rsidRPr="00C7785F">
        <w:rPr>
          <w:rFonts w:ascii="Calibri" w:hAnsi="Calibri" w:cs="Arial"/>
        </w:rPr>
        <w:t>Self</w:t>
      </w:r>
      <w:r w:rsidR="00896BAC">
        <w:rPr>
          <w:rFonts w:ascii="Calibri" w:hAnsi="Calibri" w:cs="Arial"/>
        </w:rPr>
        <w:t>-</w:t>
      </w:r>
      <w:r w:rsidRPr="00C7785F">
        <w:rPr>
          <w:rFonts w:ascii="Calibri" w:hAnsi="Calibri" w:cs="Arial"/>
        </w:rPr>
        <w:t>build</w:t>
      </w:r>
      <w:r w:rsidR="006C62F0" w:rsidRPr="00C7785F">
        <w:rPr>
          <w:rFonts w:ascii="Calibri" w:hAnsi="Calibri" w:cs="Arial"/>
        </w:rPr>
        <w:t xml:space="preserve"> (CIL r</w:t>
      </w:r>
      <w:r w:rsidR="00371E60" w:rsidRPr="00C7785F">
        <w:rPr>
          <w:rFonts w:ascii="Calibri" w:hAnsi="Calibri" w:cs="Arial"/>
        </w:rPr>
        <w:t xml:space="preserve">egulation </w:t>
      </w:r>
      <w:r w:rsidR="00C7785F" w:rsidRPr="00C7785F">
        <w:rPr>
          <w:rFonts w:ascii="Calibri" w:hAnsi="Calibri" w:cs="Arial"/>
        </w:rPr>
        <w:t>42A and 54A</w:t>
      </w:r>
      <w:r w:rsidR="005D443A">
        <w:rPr>
          <w:rFonts w:ascii="Calibri" w:hAnsi="Calibri" w:cs="Arial"/>
        </w:rPr>
        <w:t>).</w:t>
      </w:r>
      <w:r w:rsidR="00C7785F" w:rsidRPr="00C7785F">
        <w:rPr>
          <w:rFonts w:ascii="Calibri" w:hAnsi="Calibri" w:cs="Arial"/>
          <w:vertAlign w:val="superscript"/>
        </w:rPr>
        <w:t>3</w:t>
      </w:r>
    </w:p>
    <w:p w14:paraId="0F3CABC7" w14:textId="77777777" w:rsidR="00621B0F" w:rsidRPr="004D2CED" w:rsidRDefault="00621B0F" w:rsidP="00621B0F">
      <w:pPr>
        <w:ind w:left="720"/>
        <w:rPr>
          <w:rFonts w:ascii="Calibri" w:hAnsi="Calibri" w:cs="Arial"/>
        </w:rPr>
      </w:pPr>
    </w:p>
    <w:p w14:paraId="69F175BB" w14:textId="77777777" w:rsidR="00621B0F" w:rsidRDefault="00621B0F" w:rsidP="00A74976">
      <w:pPr>
        <w:numPr>
          <w:ilvl w:val="0"/>
          <w:numId w:val="8"/>
        </w:numPr>
        <w:rPr>
          <w:rFonts w:ascii="Calibri" w:hAnsi="Calibri" w:cs="Arial"/>
        </w:rPr>
      </w:pPr>
      <w:r w:rsidRPr="31522B7C">
        <w:rPr>
          <w:rFonts w:ascii="Calibri" w:hAnsi="Calibri" w:cs="Arial"/>
        </w:rPr>
        <w:t>A charging authority can choose</w:t>
      </w:r>
      <w:r w:rsidR="009C0C59" w:rsidRPr="31522B7C">
        <w:rPr>
          <w:rFonts w:ascii="Calibri" w:hAnsi="Calibri" w:cs="Arial"/>
        </w:rPr>
        <w:t xml:space="preserve"> to offer discretionary relief t</w:t>
      </w:r>
      <w:r w:rsidRPr="31522B7C">
        <w:rPr>
          <w:rFonts w:ascii="Calibri" w:hAnsi="Calibri" w:cs="Arial"/>
        </w:rPr>
        <w:t>o a charity landowner where the greater part of the chargeable development will be held as an investment, from which the profits are applied for charitable purposes</w:t>
      </w:r>
      <w:r w:rsidR="009C0C59" w:rsidRPr="31522B7C">
        <w:rPr>
          <w:rFonts w:ascii="Calibri" w:hAnsi="Calibri" w:cs="Arial"/>
        </w:rPr>
        <w:t xml:space="preserve"> (CIL regulation 44</w:t>
      </w:r>
      <w:r w:rsidR="0054129F" w:rsidRPr="31522B7C">
        <w:rPr>
          <w:rFonts w:ascii="Calibri" w:hAnsi="Calibri" w:cs="Arial"/>
        </w:rPr>
        <w:t>)</w:t>
      </w:r>
      <w:r w:rsidRPr="31522B7C">
        <w:rPr>
          <w:rFonts w:ascii="Calibri" w:hAnsi="Calibri" w:cs="Arial"/>
        </w:rPr>
        <w:t xml:space="preserve">.  </w:t>
      </w:r>
    </w:p>
    <w:p w14:paraId="5B08B5D1" w14:textId="77777777" w:rsidR="00621B0F" w:rsidRDefault="00621B0F" w:rsidP="00621B0F">
      <w:pPr>
        <w:rPr>
          <w:rFonts w:ascii="Calibri" w:hAnsi="Calibri" w:cs="Arial"/>
        </w:rPr>
      </w:pPr>
    </w:p>
    <w:p w14:paraId="2116202E" w14:textId="77777777" w:rsidR="00621B0F" w:rsidRDefault="00621B0F" w:rsidP="00A74976">
      <w:pPr>
        <w:numPr>
          <w:ilvl w:val="0"/>
          <w:numId w:val="8"/>
        </w:numPr>
        <w:rPr>
          <w:rFonts w:ascii="Calibri" w:hAnsi="Calibri" w:cs="Arial"/>
        </w:rPr>
      </w:pPr>
      <w:r w:rsidRPr="31522B7C">
        <w:rPr>
          <w:rFonts w:ascii="Calibri" w:hAnsi="Calibri" w:cs="Arial"/>
        </w:rPr>
        <w:t>It can also choose to offer exceptional circumstances relief</w:t>
      </w:r>
      <w:r w:rsidR="009C0C59" w:rsidRPr="31522B7C">
        <w:rPr>
          <w:rFonts w:ascii="Calibri" w:hAnsi="Calibri" w:cs="Arial"/>
        </w:rPr>
        <w:t xml:space="preserve"> (CIL regulation 55</w:t>
      </w:r>
      <w:r w:rsidR="0054129F" w:rsidRPr="31522B7C">
        <w:rPr>
          <w:rFonts w:ascii="Calibri" w:hAnsi="Calibri" w:cs="Arial"/>
        </w:rPr>
        <w:t xml:space="preserve">) </w:t>
      </w:r>
      <w:r w:rsidRPr="31522B7C">
        <w:rPr>
          <w:rFonts w:ascii="Calibri" w:hAnsi="Calibri" w:cs="Arial"/>
        </w:rPr>
        <w:t>on the basis of an unacceptable impact on the economic viability of a development, and where the exemption of a charitable institution from liability to pay CIL would constitute State aid</w:t>
      </w:r>
      <w:r w:rsidR="0054129F" w:rsidRPr="31522B7C">
        <w:rPr>
          <w:rFonts w:ascii="Calibri" w:hAnsi="Calibri" w:cs="Arial"/>
        </w:rPr>
        <w:t xml:space="preserve"> (CIL regulation 45)</w:t>
      </w:r>
      <w:r w:rsidRPr="31522B7C">
        <w:rPr>
          <w:rFonts w:ascii="Calibri" w:hAnsi="Calibri" w:cs="Arial"/>
        </w:rPr>
        <w:t xml:space="preserve"> and would otherwise be exempt from liability under regulation 43.  </w:t>
      </w:r>
    </w:p>
    <w:p w14:paraId="16DEB4AB" w14:textId="77777777" w:rsidR="00621B0F" w:rsidRDefault="00621B0F" w:rsidP="00621B0F">
      <w:pPr>
        <w:rPr>
          <w:rFonts w:ascii="Calibri" w:hAnsi="Calibri" w:cs="Arial"/>
        </w:rPr>
      </w:pPr>
    </w:p>
    <w:p w14:paraId="6E0EC46F" w14:textId="3F85794E" w:rsidR="00621B0F" w:rsidRDefault="00035465" w:rsidP="00A74976">
      <w:pPr>
        <w:numPr>
          <w:ilvl w:val="0"/>
          <w:numId w:val="8"/>
        </w:numPr>
        <w:rPr>
          <w:rFonts w:ascii="Calibri" w:hAnsi="Calibri" w:cs="Arial"/>
        </w:rPr>
      </w:pPr>
      <w:r w:rsidRPr="31522B7C">
        <w:rPr>
          <w:rFonts w:ascii="Calibri" w:hAnsi="Calibri" w:cs="Arial"/>
        </w:rPr>
        <w:t xml:space="preserve">In Oxford </w:t>
      </w:r>
      <w:r w:rsidR="00621B0F" w:rsidRPr="31522B7C">
        <w:rPr>
          <w:rFonts w:ascii="Calibri" w:hAnsi="Calibri" w:cs="Arial"/>
        </w:rPr>
        <w:t>City discretionary</w:t>
      </w:r>
      <w:r w:rsidR="00313A23" w:rsidRPr="31522B7C">
        <w:rPr>
          <w:rFonts w:ascii="Calibri" w:hAnsi="Calibri" w:cs="Arial"/>
        </w:rPr>
        <w:t xml:space="preserve"> charity</w:t>
      </w:r>
      <w:r w:rsidR="00621B0F" w:rsidRPr="31522B7C">
        <w:rPr>
          <w:rFonts w:ascii="Calibri" w:hAnsi="Calibri" w:cs="Arial"/>
        </w:rPr>
        <w:t xml:space="preserve"> relief </w:t>
      </w:r>
      <w:r w:rsidR="00435B32" w:rsidRPr="31522B7C">
        <w:rPr>
          <w:rFonts w:ascii="Calibri" w:hAnsi="Calibri" w:cs="Arial"/>
        </w:rPr>
        <w:t>is not available</w:t>
      </w:r>
      <w:r w:rsidR="00313A23" w:rsidRPr="31522B7C">
        <w:rPr>
          <w:rFonts w:ascii="Calibri" w:hAnsi="Calibri" w:cs="Arial"/>
        </w:rPr>
        <w:t xml:space="preserve"> (CIL</w:t>
      </w:r>
      <w:r w:rsidR="0054129F" w:rsidRPr="31522B7C">
        <w:rPr>
          <w:rFonts w:ascii="Calibri" w:hAnsi="Calibri" w:cs="Arial"/>
        </w:rPr>
        <w:t xml:space="preserve"> </w:t>
      </w:r>
      <w:r w:rsidR="006C62F0" w:rsidRPr="31522B7C">
        <w:rPr>
          <w:rFonts w:ascii="Calibri" w:hAnsi="Calibri" w:cs="Arial"/>
        </w:rPr>
        <w:t>r</w:t>
      </w:r>
      <w:r w:rsidR="0054129F" w:rsidRPr="31522B7C">
        <w:rPr>
          <w:rFonts w:ascii="Calibri" w:hAnsi="Calibri" w:cs="Arial"/>
        </w:rPr>
        <w:t>egulation 4</w:t>
      </w:r>
      <w:r w:rsidR="00896BAC" w:rsidRPr="31522B7C">
        <w:rPr>
          <w:rFonts w:ascii="Calibri" w:hAnsi="Calibri" w:cs="Arial"/>
        </w:rPr>
        <w:t>4</w:t>
      </w:r>
      <w:r w:rsidR="00313A23" w:rsidRPr="31522B7C">
        <w:rPr>
          <w:rFonts w:ascii="Calibri" w:hAnsi="Calibri" w:cs="Arial"/>
        </w:rPr>
        <w:t>)</w:t>
      </w:r>
      <w:r w:rsidR="0054129F" w:rsidRPr="31522B7C">
        <w:rPr>
          <w:rFonts w:ascii="Calibri" w:hAnsi="Calibri" w:cs="Arial"/>
        </w:rPr>
        <w:t>.</w:t>
      </w:r>
      <w:r w:rsidR="00B8768C" w:rsidRPr="31522B7C">
        <w:rPr>
          <w:rFonts w:ascii="Calibri" w:hAnsi="Calibri" w:cs="Arial"/>
        </w:rPr>
        <w:t xml:space="preserve"> However,</w:t>
      </w:r>
      <w:r w:rsidR="00B8768C">
        <w:t xml:space="preserve"> </w:t>
      </w:r>
      <w:r w:rsidR="00B8768C" w:rsidRPr="31522B7C">
        <w:rPr>
          <w:rFonts w:ascii="Calibri" w:hAnsi="Calibri" w:cs="Arial"/>
        </w:rPr>
        <w:t>a Discretionary Exceptional Circumstances Relief Policy</w:t>
      </w:r>
      <w:r w:rsidR="008362D6" w:rsidRPr="31522B7C">
        <w:rPr>
          <w:rFonts w:ascii="Calibri" w:hAnsi="Calibri" w:cs="Arial"/>
        </w:rPr>
        <w:t xml:space="preserve"> (CIL regulation 55)</w:t>
      </w:r>
      <w:r w:rsidR="00B8768C" w:rsidRPr="31522B7C">
        <w:rPr>
          <w:rFonts w:ascii="Calibri" w:hAnsi="Calibri" w:cs="Arial"/>
        </w:rPr>
        <w:t xml:space="preserve"> </w:t>
      </w:r>
      <w:r w:rsidR="008362D6" w:rsidRPr="31522B7C">
        <w:rPr>
          <w:rFonts w:ascii="Calibri" w:hAnsi="Calibri" w:cs="Arial"/>
        </w:rPr>
        <w:t>is available. (Annex 5)</w:t>
      </w:r>
    </w:p>
    <w:p w14:paraId="32E52F6C" w14:textId="77777777" w:rsidR="008362D6" w:rsidRDefault="008362D6" w:rsidP="008362D6">
      <w:pPr>
        <w:pStyle w:val="ListParagraph"/>
        <w:rPr>
          <w:rFonts w:ascii="Calibri" w:hAnsi="Calibri" w:cs="Arial"/>
        </w:rPr>
      </w:pPr>
    </w:p>
    <w:p w14:paraId="48139919" w14:textId="77777777" w:rsidR="008362D6" w:rsidRDefault="008362D6" w:rsidP="008362D6">
      <w:pPr>
        <w:ind w:left="360"/>
        <w:rPr>
          <w:rFonts w:ascii="Calibri" w:hAnsi="Calibri" w:cs="Arial"/>
        </w:rPr>
      </w:pPr>
    </w:p>
    <w:p w14:paraId="7B411CFB" w14:textId="77777777" w:rsidR="008362D6" w:rsidRPr="004D2CED" w:rsidRDefault="008362D6" w:rsidP="008362D6">
      <w:pPr>
        <w:ind w:left="360"/>
        <w:rPr>
          <w:rFonts w:ascii="Calibri" w:hAnsi="Calibri" w:cs="Arial"/>
        </w:rPr>
      </w:pPr>
    </w:p>
    <w:p w14:paraId="0AD9C6F4" w14:textId="77777777" w:rsidR="00621B0F" w:rsidRDefault="00621B0F" w:rsidP="00621B0F">
      <w:pPr>
        <w:rPr>
          <w:rFonts w:ascii="Calibri" w:hAnsi="Calibri" w:cs="Arial"/>
        </w:rPr>
      </w:pPr>
    </w:p>
    <w:p w14:paraId="45509928" w14:textId="77777777" w:rsidR="000630AB" w:rsidRPr="00861F56" w:rsidRDefault="00621B0F" w:rsidP="00621B0F">
      <w:pPr>
        <w:rPr>
          <w:rFonts w:ascii="Calibri" w:hAnsi="Calibri" w:cs="Arial"/>
          <w:b/>
          <w:color w:val="007373"/>
        </w:rPr>
      </w:pPr>
      <w:r w:rsidRPr="00861F56">
        <w:rPr>
          <w:rFonts w:ascii="Calibri" w:hAnsi="Calibri" w:cs="Arial"/>
          <w:b/>
          <w:color w:val="007373"/>
        </w:rPr>
        <w:t xml:space="preserve">Calculating the chargeable amount </w:t>
      </w:r>
    </w:p>
    <w:p w14:paraId="08C72390" w14:textId="3A6A686F" w:rsidR="00621B0F" w:rsidRPr="008002EC" w:rsidRDefault="00621B0F" w:rsidP="00A74976">
      <w:pPr>
        <w:numPr>
          <w:ilvl w:val="0"/>
          <w:numId w:val="8"/>
        </w:numPr>
        <w:rPr>
          <w:rFonts w:ascii="Calibri" w:hAnsi="Calibri" w:cs="Arial"/>
        </w:rPr>
      </w:pPr>
      <w:r w:rsidRPr="31522B7C">
        <w:rPr>
          <w:rFonts w:ascii="Calibri" w:hAnsi="Calibri" w:cs="Arial"/>
        </w:rPr>
        <w:t>The City Council will calculate the amount of CIL chargeable in accordance with regulation 40 of the Community Infrastructure Levy</w:t>
      </w:r>
      <w:r w:rsidR="00ED1587" w:rsidRPr="31522B7C">
        <w:rPr>
          <w:rFonts w:ascii="Calibri" w:hAnsi="Calibri" w:cs="Arial"/>
        </w:rPr>
        <w:t xml:space="preserve"> (</w:t>
      </w:r>
      <w:r w:rsidR="00C27960" w:rsidRPr="31522B7C">
        <w:rPr>
          <w:rFonts w:ascii="Calibri" w:hAnsi="Calibri" w:cs="Arial"/>
        </w:rPr>
        <w:t>as amended)</w:t>
      </w:r>
      <w:r w:rsidRPr="31522B7C">
        <w:rPr>
          <w:rFonts w:ascii="Calibri" w:hAnsi="Calibri" w:cs="Arial"/>
        </w:rPr>
        <w:t xml:space="preserve"> </w:t>
      </w:r>
      <w:r w:rsidR="000630AB" w:rsidRPr="31522B7C">
        <w:rPr>
          <w:rFonts w:ascii="Calibri" w:hAnsi="Calibri" w:cs="Arial"/>
        </w:rPr>
        <w:t xml:space="preserve">Refer to </w:t>
      </w:r>
      <w:r w:rsidR="006B3A6B" w:rsidRPr="31522B7C">
        <w:rPr>
          <w:rFonts w:ascii="Calibri" w:hAnsi="Calibri" w:cs="Arial"/>
        </w:rPr>
        <w:t xml:space="preserve">Annex </w:t>
      </w:r>
      <w:r w:rsidR="00C7785F" w:rsidRPr="31522B7C">
        <w:rPr>
          <w:rFonts w:ascii="Calibri" w:hAnsi="Calibri" w:cs="Arial"/>
        </w:rPr>
        <w:t xml:space="preserve">2 </w:t>
      </w:r>
      <w:r w:rsidR="000630AB" w:rsidRPr="31522B7C">
        <w:rPr>
          <w:rFonts w:ascii="Calibri" w:hAnsi="Calibri" w:cs="Arial"/>
        </w:rPr>
        <w:t>for an extract of this regulation.</w:t>
      </w:r>
    </w:p>
    <w:p w14:paraId="4B1F511A" w14:textId="77777777" w:rsidR="00621B0F" w:rsidRPr="008002EC" w:rsidRDefault="00621B0F" w:rsidP="00621B0F">
      <w:pPr>
        <w:rPr>
          <w:rFonts w:ascii="Calibri" w:hAnsi="Calibri" w:cs="Arial"/>
        </w:rPr>
      </w:pPr>
    </w:p>
    <w:p w14:paraId="386B3527" w14:textId="77777777" w:rsidR="00621B0F" w:rsidRPr="008002EC" w:rsidRDefault="00621B0F" w:rsidP="00A74976">
      <w:pPr>
        <w:numPr>
          <w:ilvl w:val="0"/>
          <w:numId w:val="8"/>
        </w:numPr>
        <w:rPr>
          <w:rFonts w:ascii="Calibri" w:hAnsi="Calibri" w:cs="Arial"/>
        </w:rPr>
      </w:pPr>
      <w:r w:rsidRPr="31522B7C">
        <w:rPr>
          <w:rFonts w:ascii="Calibri" w:hAnsi="Calibri" w:cs="Arial"/>
        </w:rPr>
        <w:t>The relevant rate (R) for each development type is shown in the Charging Schedule above and the Gross Internal Area (GIA) is measured and calculated in accordance with the Royal Institute of Chartered Surveyors (RICS) Code of Measuring Practice.</w:t>
      </w:r>
      <w:r w:rsidR="00AC5879" w:rsidRPr="31522B7C">
        <w:rPr>
          <w:rFonts w:ascii="Calibri" w:hAnsi="Calibri" w:cs="Arial"/>
        </w:rPr>
        <w:t xml:space="preserve"> </w:t>
      </w:r>
      <w:r w:rsidR="006B3A6B" w:rsidRPr="31522B7C">
        <w:rPr>
          <w:rFonts w:ascii="Calibri" w:hAnsi="Calibri" w:cs="Arial"/>
        </w:rPr>
        <w:t xml:space="preserve">Annex </w:t>
      </w:r>
      <w:r w:rsidR="00C7785F" w:rsidRPr="31522B7C">
        <w:rPr>
          <w:rFonts w:ascii="Calibri" w:hAnsi="Calibri" w:cs="Arial"/>
        </w:rPr>
        <w:t xml:space="preserve">3 </w:t>
      </w:r>
      <w:r w:rsidR="00AC5879" w:rsidRPr="31522B7C">
        <w:rPr>
          <w:rFonts w:ascii="Calibri" w:hAnsi="Calibri" w:cs="Arial"/>
        </w:rPr>
        <w:t>sets out an extract of RICS code.</w:t>
      </w:r>
    </w:p>
    <w:p w14:paraId="65F9C3DC" w14:textId="77777777" w:rsidR="00621B0F" w:rsidRPr="004D2CED" w:rsidRDefault="00621B0F" w:rsidP="00621B0F">
      <w:pPr>
        <w:rPr>
          <w:rFonts w:ascii="Calibri" w:hAnsi="Calibri" w:cs="Arial"/>
        </w:rPr>
      </w:pPr>
    </w:p>
    <w:p w14:paraId="052B1C52" w14:textId="436D7EFB" w:rsidR="00397D09" w:rsidRDefault="00621B0F" w:rsidP="00A74976">
      <w:pPr>
        <w:numPr>
          <w:ilvl w:val="0"/>
          <w:numId w:val="8"/>
        </w:numPr>
        <w:rPr>
          <w:rFonts w:ascii="Calibri" w:hAnsi="Calibri" w:cs="Arial"/>
        </w:rPr>
      </w:pPr>
      <w:r w:rsidRPr="31522B7C">
        <w:rPr>
          <w:rFonts w:ascii="Calibri" w:hAnsi="Calibri" w:cs="Arial"/>
        </w:rPr>
        <w:t>The chargeable amount will reflect inflation by being index linked to RICS’ Building Cost Information Service ‘</w:t>
      </w:r>
      <w:r w:rsidR="0043209E" w:rsidRPr="31522B7C">
        <w:rPr>
          <w:rFonts w:ascii="Calibri" w:hAnsi="Calibri" w:cs="Arial"/>
        </w:rPr>
        <w:t xml:space="preserve">CIL </w:t>
      </w:r>
      <w:r w:rsidRPr="31522B7C">
        <w:rPr>
          <w:rFonts w:ascii="Calibri" w:hAnsi="Calibri" w:cs="Arial"/>
        </w:rPr>
        <w:t>Index’.</w:t>
      </w:r>
    </w:p>
    <w:p w14:paraId="5023141B" w14:textId="77777777" w:rsidR="00397D09" w:rsidRDefault="00397D09" w:rsidP="00397D09">
      <w:pPr>
        <w:rPr>
          <w:rFonts w:ascii="Calibri" w:hAnsi="Calibri" w:cs="Arial"/>
        </w:rPr>
      </w:pPr>
    </w:p>
    <w:p w14:paraId="311A5992" w14:textId="1CC5F727" w:rsidR="00A562BE" w:rsidRPr="00DC1804" w:rsidRDefault="00397D09" w:rsidP="00DC1804">
      <w:pPr>
        <w:numPr>
          <w:ilvl w:val="0"/>
          <w:numId w:val="8"/>
        </w:numPr>
        <w:rPr>
          <w:rFonts w:ascii="Calibri" w:hAnsi="Calibri" w:cs="Arial"/>
        </w:rPr>
      </w:pPr>
      <w:r>
        <w:rPr>
          <w:rFonts w:ascii="Calibri" w:hAnsi="Calibri" w:cs="Arial"/>
        </w:rPr>
        <w:t xml:space="preserve">Amended </w:t>
      </w:r>
      <w:r w:rsidRPr="00397D09">
        <w:rPr>
          <w:rFonts w:ascii="Calibri" w:hAnsi="Calibri" w:cs="Arial"/>
        </w:rPr>
        <w:t>CIL Regulations</w:t>
      </w:r>
      <w:r>
        <w:rPr>
          <w:rFonts w:ascii="Calibri" w:hAnsi="Calibri" w:cs="Arial"/>
        </w:rPr>
        <w:t xml:space="preserve"> </w:t>
      </w:r>
      <w:r w:rsidRPr="00397D09">
        <w:rPr>
          <w:rFonts w:ascii="Calibri" w:hAnsi="Calibri" w:cs="Arial"/>
        </w:rPr>
        <w:t xml:space="preserve">mean that </w:t>
      </w:r>
      <w:r>
        <w:rPr>
          <w:rFonts w:ascii="Calibri" w:hAnsi="Calibri" w:cs="Arial"/>
        </w:rPr>
        <w:t xml:space="preserve">for Section 73 applications to vary an existing planning condition, </w:t>
      </w:r>
      <w:r w:rsidRPr="00397D09">
        <w:rPr>
          <w:rFonts w:ascii="Calibri" w:hAnsi="Calibri" w:cs="Arial"/>
        </w:rPr>
        <w:t>CIL will only be payable upon any increase in chargeable floorspace from the sec</w:t>
      </w:r>
      <w:r>
        <w:rPr>
          <w:rFonts w:ascii="Calibri" w:hAnsi="Calibri" w:cs="Arial"/>
        </w:rPr>
        <w:t>tion 73 application/permission</w:t>
      </w:r>
      <w:r>
        <w:rPr>
          <w:rStyle w:val="FootnoteReference"/>
          <w:rFonts w:ascii="Calibri" w:hAnsi="Calibri" w:cs="Arial"/>
        </w:rPr>
        <w:footnoteReference w:id="4"/>
      </w:r>
      <w:r>
        <w:rPr>
          <w:rFonts w:ascii="Calibri" w:hAnsi="Calibri" w:cs="Arial"/>
        </w:rPr>
        <w:t>.</w:t>
      </w:r>
    </w:p>
    <w:p w14:paraId="1F3B1409" w14:textId="77777777" w:rsidR="00621B0F" w:rsidRDefault="00621B0F" w:rsidP="00621B0F">
      <w:pPr>
        <w:rPr>
          <w:rFonts w:ascii="Calibri" w:hAnsi="Calibri" w:cs="Arial"/>
          <w:b/>
          <w:color w:val="0000FF"/>
        </w:rPr>
      </w:pPr>
    </w:p>
    <w:p w14:paraId="61D94782" w14:textId="77777777" w:rsidR="00621B0F" w:rsidRPr="00861F56" w:rsidRDefault="00621B0F" w:rsidP="00621B0F">
      <w:pPr>
        <w:rPr>
          <w:rFonts w:ascii="Calibri" w:hAnsi="Calibri" w:cs="Arial"/>
          <w:b/>
          <w:color w:val="007373"/>
        </w:rPr>
      </w:pPr>
      <w:r w:rsidRPr="00861F56">
        <w:rPr>
          <w:rFonts w:ascii="Calibri" w:hAnsi="Calibri" w:cs="Arial"/>
          <w:b/>
          <w:color w:val="007373"/>
        </w:rPr>
        <w:t>Netting off existing floor space</w:t>
      </w:r>
    </w:p>
    <w:p w14:paraId="5007C4FF" w14:textId="77777777" w:rsidR="00621B0F" w:rsidRPr="004D2CED" w:rsidRDefault="00621B0F" w:rsidP="00A74976">
      <w:pPr>
        <w:numPr>
          <w:ilvl w:val="0"/>
          <w:numId w:val="8"/>
        </w:numPr>
        <w:rPr>
          <w:rFonts w:ascii="Calibri" w:hAnsi="Calibri" w:cs="Arial"/>
        </w:rPr>
      </w:pPr>
      <w:r>
        <w:rPr>
          <w:rFonts w:ascii="Calibri" w:hAnsi="Calibri" w:cs="Arial"/>
        </w:rPr>
        <w:t>In certain circumstances, where a development includes the demolition of an existing building, the existing Gross Internal Area (GIA) can be deducted from the proposed floorspace</w:t>
      </w:r>
      <w:r w:rsidRPr="004D2CED">
        <w:rPr>
          <w:rFonts w:ascii="Calibri" w:hAnsi="Calibri" w:cs="Arial"/>
        </w:rPr>
        <w:t>. The</w:t>
      </w:r>
      <w:r>
        <w:rPr>
          <w:rFonts w:ascii="Calibri" w:hAnsi="Calibri" w:cs="Arial"/>
        </w:rPr>
        <w:t>se</w:t>
      </w:r>
      <w:r w:rsidRPr="004D2CED">
        <w:rPr>
          <w:rFonts w:ascii="Calibri" w:hAnsi="Calibri" w:cs="Arial"/>
        </w:rPr>
        <w:t xml:space="preserve"> deductions in respect of demolition or change of use will only apply where the existing building has been in continuous lawful use</w:t>
      </w:r>
      <w:r w:rsidRPr="004D2CED">
        <w:rPr>
          <w:rStyle w:val="FootnoteReference"/>
          <w:rFonts w:ascii="Calibri" w:hAnsi="Calibri" w:cs="Arial"/>
        </w:rPr>
        <w:footnoteReference w:id="5"/>
      </w:r>
      <w:r w:rsidRPr="004D2CED">
        <w:rPr>
          <w:rFonts w:ascii="Calibri" w:hAnsi="Calibri" w:cs="Arial"/>
        </w:rPr>
        <w:t xml:space="preserve"> for at least six months in the </w:t>
      </w:r>
      <w:r w:rsidR="00375291">
        <w:rPr>
          <w:rFonts w:ascii="Calibri" w:hAnsi="Calibri" w:cs="Arial"/>
        </w:rPr>
        <w:t>3 years</w:t>
      </w:r>
      <w:r w:rsidRPr="004D2CED">
        <w:rPr>
          <w:rFonts w:ascii="Calibri" w:hAnsi="Calibri" w:cs="Arial"/>
        </w:rPr>
        <w:t xml:space="preserve"> prior to </w:t>
      </w:r>
      <w:r w:rsidR="00134599">
        <w:rPr>
          <w:rFonts w:ascii="Calibri" w:hAnsi="Calibri" w:cs="Arial"/>
        </w:rPr>
        <w:t>the development being permitted</w:t>
      </w:r>
      <w:r w:rsidR="00EC1A2C">
        <w:rPr>
          <w:rFonts w:ascii="Calibri" w:hAnsi="Calibri" w:cs="Arial"/>
        </w:rPr>
        <w:t xml:space="preserve"> and is still in situ on the day planning permission is granted.</w:t>
      </w:r>
    </w:p>
    <w:p w14:paraId="562C75D1" w14:textId="77777777" w:rsidR="00621B0F" w:rsidRDefault="00621B0F" w:rsidP="00621B0F">
      <w:pPr>
        <w:rPr>
          <w:rFonts w:ascii="Calibri" w:hAnsi="Calibri" w:cs="Arial"/>
        </w:rPr>
      </w:pPr>
    </w:p>
    <w:p w14:paraId="2DAFC8BF" w14:textId="77777777" w:rsidR="00621B0F" w:rsidRPr="004D2CED" w:rsidRDefault="00621B0F" w:rsidP="00A74976">
      <w:pPr>
        <w:numPr>
          <w:ilvl w:val="0"/>
          <w:numId w:val="8"/>
        </w:numPr>
        <w:rPr>
          <w:rFonts w:ascii="Calibri" w:hAnsi="Calibri" w:cs="Arial"/>
        </w:rPr>
      </w:pPr>
      <w:r w:rsidRPr="31522B7C">
        <w:rPr>
          <w:rFonts w:ascii="Calibri" w:hAnsi="Calibri" w:cs="Arial"/>
        </w:rPr>
        <w:t>Oxford City Council may deem the Gross Internal Area (GIA) of a building to be zero where there is no</w:t>
      </w:r>
      <w:r w:rsidR="00F7411B" w:rsidRPr="31522B7C">
        <w:rPr>
          <w:rFonts w:ascii="Calibri" w:hAnsi="Calibri" w:cs="Arial"/>
        </w:rPr>
        <w:t>t</w:t>
      </w:r>
      <w:r w:rsidRPr="31522B7C">
        <w:rPr>
          <w:rFonts w:ascii="Calibri" w:hAnsi="Calibri" w:cs="Arial"/>
        </w:rPr>
        <w:t xml:space="preserve"> sufficient information, or </w:t>
      </w:r>
      <w:r w:rsidR="00F7411B" w:rsidRPr="31522B7C">
        <w:rPr>
          <w:rFonts w:ascii="Calibri" w:hAnsi="Calibri" w:cs="Arial"/>
        </w:rPr>
        <w:t xml:space="preserve">no </w:t>
      </w:r>
      <w:r w:rsidRPr="31522B7C">
        <w:rPr>
          <w:rFonts w:ascii="Calibri" w:hAnsi="Calibri" w:cs="Arial"/>
        </w:rPr>
        <w:t>information of sufficient quality</w:t>
      </w:r>
      <w:r w:rsidR="00F7411B" w:rsidRPr="31522B7C">
        <w:rPr>
          <w:rFonts w:ascii="Calibri" w:hAnsi="Calibri" w:cs="Arial"/>
        </w:rPr>
        <w:t>,</w:t>
      </w:r>
      <w:r w:rsidRPr="31522B7C">
        <w:rPr>
          <w:rFonts w:ascii="Calibri" w:hAnsi="Calibri" w:cs="Arial"/>
        </w:rPr>
        <w:t xml:space="preserve"> regarding the GIA of a</w:t>
      </w:r>
      <w:r w:rsidR="00AC5879" w:rsidRPr="31522B7C">
        <w:rPr>
          <w:rFonts w:ascii="Calibri" w:hAnsi="Calibri" w:cs="Arial"/>
        </w:rPr>
        <w:t>n existing</w:t>
      </w:r>
      <w:r w:rsidRPr="31522B7C">
        <w:rPr>
          <w:rFonts w:ascii="Calibri" w:hAnsi="Calibri" w:cs="Arial"/>
        </w:rPr>
        <w:t xml:space="preserve"> building or whether it is in lawful use. </w:t>
      </w:r>
    </w:p>
    <w:p w14:paraId="1A965116" w14:textId="76DC3E87" w:rsidR="00296F18" w:rsidRPr="004D2CED" w:rsidRDefault="00296F18" w:rsidP="11CCF65A">
      <w:pPr>
        <w:rPr>
          <w:rFonts w:ascii="Calibri" w:hAnsi="Calibri" w:cs="Arial"/>
        </w:rPr>
      </w:pPr>
    </w:p>
    <w:p w14:paraId="01492143" w14:textId="77777777" w:rsidR="00621B0F" w:rsidRPr="00861F56" w:rsidRDefault="006B3A6B" w:rsidP="00621B0F">
      <w:pPr>
        <w:rPr>
          <w:rFonts w:ascii="Calibri" w:hAnsi="Calibri" w:cs="Arial"/>
          <w:b/>
          <w:color w:val="007373"/>
        </w:rPr>
      </w:pPr>
      <w:r w:rsidRPr="00861F56">
        <w:rPr>
          <w:rFonts w:ascii="Calibri" w:hAnsi="Calibri" w:cs="Arial"/>
          <w:b/>
          <w:color w:val="007373"/>
        </w:rPr>
        <w:t>Liability for CIL</w:t>
      </w:r>
    </w:p>
    <w:p w14:paraId="69333281" w14:textId="3E915971" w:rsidR="000C4BED" w:rsidRPr="001A7F48" w:rsidRDefault="00621B0F" w:rsidP="00A74976">
      <w:pPr>
        <w:numPr>
          <w:ilvl w:val="0"/>
          <w:numId w:val="8"/>
        </w:numPr>
        <w:rPr>
          <w:rFonts w:ascii="Calibri" w:hAnsi="Calibri" w:cs="Arial"/>
        </w:rPr>
      </w:pPr>
      <w:r w:rsidRPr="31522B7C">
        <w:rPr>
          <w:rFonts w:ascii="Calibri" w:hAnsi="Calibri" w:cs="Arial"/>
        </w:rPr>
        <w:t>Once planning permission is granted, CIL regulations encourage any party</w:t>
      </w:r>
      <w:r w:rsidR="00F7411B" w:rsidRPr="31522B7C">
        <w:rPr>
          <w:rFonts w:ascii="Calibri" w:hAnsi="Calibri" w:cs="Arial"/>
        </w:rPr>
        <w:t>,</w:t>
      </w:r>
      <w:r w:rsidRPr="31522B7C">
        <w:rPr>
          <w:rFonts w:ascii="Calibri" w:hAnsi="Calibri" w:cs="Arial"/>
        </w:rPr>
        <w:t xml:space="preserve"> (</w:t>
      </w:r>
      <w:r w:rsidR="00F7411B" w:rsidRPr="31522B7C">
        <w:rPr>
          <w:rFonts w:ascii="Calibri" w:hAnsi="Calibri" w:cs="Arial"/>
        </w:rPr>
        <w:t xml:space="preserve">such as a </w:t>
      </w:r>
      <w:r w:rsidRPr="31522B7C">
        <w:rPr>
          <w:rFonts w:ascii="Calibri" w:hAnsi="Calibri" w:cs="Arial"/>
        </w:rPr>
        <w:t xml:space="preserve">developer submitting a planning application, </w:t>
      </w:r>
      <w:r w:rsidR="00F7411B" w:rsidRPr="31522B7C">
        <w:rPr>
          <w:rFonts w:ascii="Calibri" w:hAnsi="Calibri" w:cs="Arial"/>
        </w:rPr>
        <w:t xml:space="preserve">or a </w:t>
      </w:r>
      <w:r w:rsidRPr="31522B7C">
        <w:rPr>
          <w:rFonts w:ascii="Calibri" w:hAnsi="Calibri" w:cs="Arial"/>
        </w:rPr>
        <w:t>landowner)</w:t>
      </w:r>
      <w:r w:rsidR="00F7411B" w:rsidRPr="31522B7C">
        <w:rPr>
          <w:rFonts w:ascii="Calibri" w:hAnsi="Calibri" w:cs="Arial"/>
        </w:rPr>
        <w:t>,</w:t>
      </w:r>
      <w:r w:rsidRPr="31522B7C">
        <w:rPr>
          <w:rFonts w:ascii="Calibri" w:hAnsi="Calibri" w:cs="Arial"/>
        </w:rPr>
        <w:t xml:space="preserve"> to </w:t>
      </w:r>
      <w:r w:rsidR="00210228" w:rsidRPr="31522B7C">
        <w:rPr>
          <w:rFonts w:ascii="Calibri" w:hAnsi="Calibri" w:cs="Arial"/>
        </w:rPr>
        <w:t xml:space="preserve">take </w:t>
      </w:r>
      <w:r w:rsidRPr="31522B7C">
        <w:rPr>
          <w:rFonts w:ascii="Calibri" w:hAnsi="Calibri" w:cs="Arial"/>
        </w:rPr>
        <w:t>liability to pay the CIL charge. CIL liability runs with the land</w:t>
      </w:r>
      <w:r w:rsidR="00210228" w:rsidRPr="31522B7C">
        <w:rPr>
          <w:rFonts w:ascii="Calibri" w:hAnsi="Calibri" w:cs="Arial"/>
        </w:rPr>
        <w:t>.</w:t>
      </w:r>
      <w:r w:rsidRPr="31522B7C">
        <w:rPr>
          <w:rFonts w:ascii="Calibri" w:hAnsi="Calibri" w:cs="Arial"/>
        </w:rPr>
        <w:t xml:space="preserve"> </w:t>
      </w:r>
      <w:r w:rsidR="00210228" w:rsidRPr="31522B7C">
        <w:rPr>
          <w:rFonts w:ascii="Calibri" w:hAnsi="Calibri" w:cs="Arial"/>
        </w:rPr>
        <w:t>I</w:t>
      </w:r>
      <w:r w:rsidRPr="31522B7C">
        <w:rPr>
          <w:rFonts w:ascii="Calibri" w:hAnsi="Calibri" w:cs="Arial"/>
        </w:rPr>
        <w:t>f no party assumes liability to pay before development commences, land</w:t>
      </w:r>
      <w:r w:rsidR="00134DD3" w:rsidRPr="31522B7C">
        <w:rPr>
          <w:rFonts w:ascii="Calibri" w:hAnsi="Calibri" w:cs="Arial"/>
        </w:rPr>
        <w:t>-</w:t>
      </w:r>
      <w:r w:rsidRPr="31522B7C">
        <w:rPr>
          <w:rFonts w:ascii="Calibri" w:hAnsi="Calibri" w:cs="Arial"/>
        </w:rPr>
        <w:t xml:space="preserve">owners will be liable to pay the levy. </w:t>
      </w:r>
    </w:p>
    <w:p w14:paraId="7DF4E37C" w14:textId="77777777" w:rsidR="00680252" w:rsidRDefault="00680252" w:rsidP="00A06206">
      <w:pPr>
        <w:rPr>
          <w:rFonts w:ascii="Calibri" w:hAnsi="Calibri" w:cs="Arial"/>
        </w:rPr>
      </w:pPr>
    </w:p>
    <w:p w14:paraId="1FCECD6B" w14:textId="77777777" w:rsidR="00621B0F" w:rsidRPr="00861F56" w:rsidRDefault="006B3A6B" w:rsidP="00621B0F">
      <w:pPr>
        <w:rPr>
          <w:rFonts w:ascii="Calibri" w:hAnsi="Calibri" w:cs="Arial"/>
          <w:color w:val="007373"/>
        </w:rPr>
      </w:pPr>
      <w:r w:rsidRPr="00861F56">
        <w:rPr>
          <w:rFonts w:ascii="Calibri" w:hAnsi="Calibri" w:cs="Arial"/>
          <w:b/>
          <w:color w:val="007373"/>
        </w:rPr>
        <w:t>Payment of CIL</w:t>
      </w:r>
    </w:p>
    <w:p w14:paraId="1CCA42B3" w14:textId="77777777" w:rsidR="00621B0F" w:rsidRPr="001A7F48" w:rsidRDefault="001A7F48" w:rsidP="00A74976">
      <w:pPr>
        <w:numPr>
          <w:ilvl w:val="0"/>
          <w:numId w:val="8"/>
        </w:numPr>
        <w:rPr>
          <w:rFonts w:ascii="Calibri" w:hAnsi="Calibri"/>
        </w:rPr>
      </w:pPr>
      <w:r w:rsidRPr="001A7F48">
        <w:rPr>
          <w:rFonts w:ascii="Calibri" w:hAnsi="Calibri"/>
        </w:rPr>
        <w:t xml:space="preserve">The default position is that </w:t>
      </w:r>
      <w:r w:rsidR="00621B0F" w:rsidRPr="001A7F48">
        <w:rPr>
          <w:rFonts w:ascii="Calibri" w:hAnsi="Calibri"/>
        </w:rPr>
        <w:t>CIL payment is</w:t>
      </w:r>
      <w:r w:rsidR="00457332" w:rsidRPr="001A7F48">
        <w:rPr>
          <w:rFonts w:ascii="Calibri" w:hAnsi="Calibri"/>
        </w:rPr>
        <w:t xml:space="preserve"> due </w:t>
      </w:r>
      <w:r w:rsidRPr="001A7F48">
        <w:rPr>
          <w:rFonts w:ascii="Calibri" w:hAnsi="Calibri"/>
        </w:rPr>
        <w:t xml:space="preserve">within 60 days of the commencement of </w:t>
      </w:r>
      <w:r w:rsidR="00541146" w:rsidRPr="001A7F48">
        <w:rPr>
          <w:rFonts w:ascii="Calibri" w:hAnsi="Calibri"/>
        </w:rPr>
        <w:t>development</w:t>
      </w:r>
      <w:r w:rsidR="00541146">
        <w:rPr>
          <w:rFonts w:ascii="Calibri" w:hAnsi="Calibri"/>
        </w:rPr>
        <w:t>;</w:t>
      </w:r>
      <w:r>
        <w:rPr>
          <w:rFonts w:ascii="Calibri" w:hAnsi="Calibri"/>
        </w:rPr>
        <w:t xml:space="preserve"> however in some cases CIL is due immediately</w:t>
      </w:r>
      <w:r w:rsidRPr="001A7F48">
        <w:rPr>
          <w:rFonts w:ascii="Calibri" w:hAnsi="Calibri"/>
        </w:rPr>
        <w:t>.</w:t>
      </w:r>
      <w:r>
        <w:rPr>
          <w:rStyle w:val="FootnoteReference"/>
          <w:rFonts w:ascii="Calibri" w:hAnsi="Calibri"/>
        </w:rPr>
        <w:footnoteReference w:id="6"/>
      </w:r>
      <w:r w:rsidRPr="001A7F48">
        <w:rPr>
          <w:rFonts w:ascii="Calibri" w:hAnsi="Calibri"/>
        </w:rPr>
        <w:t xml:space="preserve"> </w:t>
      </w:r>
      <w:r w:rsidR="00457332" w:rsidRPr="001A7F48">
        <w:rPr>
          <w:rFonts w:ascii="Calibri" w:hAnsi="Calibri"/>
        </w:rPr>
        <w:t xml:space="preserve">For some developments, instalments may be permitted in accordance </w:t>
      </w:r>
      <w:r w:rsidR="00AC5879" w:rsidRPr="001A7F48">
        <w:rPr>
          <w:rFonts w:ascii="Calibri" w:hAnsi="Calibri"/>
        </w:rPr>
        <w:t>with</w:t>
      </w:r>
      <w:r w:rsidR="00457332" w:rsidRPr="001A7F48">
        <w:rPr>
          <w:rFonts w:ascii="Calibri" w:hAnsi="Calibri"/>
        </w:rPr>
        <w:t xml:space="preserve"> the</w:t>
      </w:r>
      <w:r w:rsidR="00DC60B3" w:rsidRPr="001A7F48">
        <w:rPr>
          <w:rFonts w:ascii="Calibri" w:hAnsi="Calibri"/>
        </w:rPr>
        <w:t xml:space="preserve"> City</w:t>
      </w:r>
      <w:r w:rsidR="00457332" w:rsidRPr="001A7F48">
        <w:rPr>
          <w:rFonts w:ascii="Calibri" w:hAnsi="Calibri"/>
        </w:rPr>
        <w:t xml:space="preserve"> Council</w:t>
      </w:r>
      <w:r w:rsidR="00DC60B3" w:rsidRPr="001A7F48">
        <w:rPr>
          <w:rFonts w:ascii="Calibri" w:hAnsi="Calibri"/>
        </w:rPr>
        <w:t>’</w:t>
      </w:r>
      <w:r w:rsidR="00457332" w:rsidRPr="001A7F48">
        <w:rPr>
          <w:rFonts w:ascii="Calibri" w:hAnsi="Calibri"/>
        </w:rPr>
        <w:t xml:space="preserve">s Instalments policy. </w:t>
      </w:r>
      <w:r w:rsidR="00457332" w:rsidRPr="008002EC">
        <w:rPr>
          <w:rFonts w:ascii="Calibri" w:hAnsi="Calibri"/>
        </w:rPr>
        <w:t xml:space="preserve">Annex </w:t>
      </w:r>
      <w:r w:rsidR="00AD51EA">
        <w:rPr>
          <w:rFonts w:ascii="Calibri" w:hAnsi="Calibri"/>
        </w:rPr>
        <w:t>4</w:t>
      </w:r>
      <w:r w:rsidR="00A06206" w:rsidRPr="008002EC">
        <w:rPr>
          <w:rFonts w:ascii="Calibri" w:hAnsi="Calibri"/>
        </w:rPr>
        <w:t xml:space="preserve"> </w:t>
      </w:r>
      <w:r w:rsidR="00457332" w:rsidRPr="008002EC">
        <w:rPr>
          <w:rFonts w:ascii="Calibri" w:hAnsi="Calibri"/>
        </w:rPr>
        <w:t>of</w:t>
      </w:r>
      <w:r w:rsidR="00AC5879" w:rsidRPr="001A7F48">
        <w:rPr>
          <w:rFonts w:ascii="Calibri" w:hAnsi="Calibri"/>
        </w:rPr>
        <w:t xml:space="preserve"> this document sets out an </w:t>
      </w:r>
      <w:r w:rsidR="00457332" w:rsidRPr="001A7F48">
        <w:rPr>
          <w:rFonts w:ascii="Calibri" w:hAnsi="Calibri"/>
        </w:rPr>
        <w:t>Instalments Policy</w:t>
      </w:r>
      <w:r w:rsidR="0031759D" w:rsidRPr="001A7F48">
        <w:rPr>
          <w:rFonts w:ascii="Calibri" w:hAnsi="Calibri"/>
        </w:rPr>
        <w:t xml:space="preserve">. </w:t>
      </w:r>
    </w:p>
    <w:p w14:paraId="030DB188" w14:textId="77777777" w:rsidR="00F8435C" w:rsidRDefault="00F8435C" w:rsidP="00621B0F">
      <w:pPr>
        <w:rPr>
          <w:rFonts w:ascii="Calibri" w:hAnsi="Calibri" w:cs="Arial"/>
          <w:b/>
          <w:color w:val="007373"/>
        </w:rPr>
      </w:pPr>
    </w:p>
    <w:p w14:paraId="172E7180" w14:textId="5E4A0ACB" w:rsidR="53C9A66A" w:rsidRDefault="53C9A66A" w:rsidP="53C9A66A">
      <w:pPr>
        <w:rPr>
          <w:rFonts w:ascii="Calibri" w:hAnsi="Calibri" w:cs="Arial"/>
          <w:b/>
          <w:bCs/>
          <w:color w:val="007373"/>
        </w:rPr>
      </w:pPr>
    </w:p>
    <w:p w14:paraId="0B9A1981" w14:textId="218A9E74" w:rsidR="53C9A66A" w:rsidRDefault="53C9A66A" w:rsidP="53C9A66A">
      <w:pPr>
        <w:rPr>
          <w:rFonts w:ascii="Calibri" w:hAnsi="Calibri" w:cs="Arial"/>
          <w:b/>
          <w:bCs/>
          <w:color w:val="007373"/>
        </w:rPr>
      </w:pPr>
    </w:p>
    <w:p w14:paraId="2D474B4F" w14:textId="45810E48" w:rsidR="00621B0F" w:rsidRPr="00861F56" w:rsidRDefault="00621B0F" w:rsidP="00621B0F">
      <w:pPr>
        <w:rPr>
          <w:rFonts w:ascii="Calibri" w:hAnsi="Calibri" w:cs="Arial"/>
          <w:b/>
          <w:color w:val="007373"/>
        </w:rPr>
      </w:pPr>
      <w:r w:rsidRPr="00861F56">
        <w:rPr>
          <w:rFonts w:ascii="Calibri" w:hAnsi="Calibri" w:cs="Arial"/>
          <w:b/>
          <w:color w:val="007373"/>
        </w:rPr>
        <w:t>Payments in kind</w:t>
      </w:r>
    </w:p>
    <w:p w14:paraId="03FAC3D1" w14:textId="77777777" w:rsidR="00F03D83" w:rsidRPr="006B3A6B" w:rsidRDefault="00621B0F" w:rsidP="00A74976">
      <w:pPr>
        <w:numPr>
          <w:ilvl w:val="0"/>
          <w:numId w:val="8"/>
        </w:numPr>
        <w:rPr>
          <w:rFonts w:ascii="Calibri" w:hAnsi="Calibri" w:cs="Arial"/>
        </w:rPr>
      </w:pPr>
      <w:r w:rsidRPr="004D2CED">
        <w:rPr>
          <w:rFonts w:ascii="Calibri" w:hAnsi="Calibri" w:cs="Arial"/>
        </w:rPr>
        <w:t>In circumstances w</w:t>
      </w:r>
      <w:r w:rsidR="000630AB">
        <w:rPr>
          <w:rFonts w:ascii="Calibri" w:hAnsi="Calibri" w:cs="Arial"/>
        </w:rPr>
        <w:t>h</w:t>
      </w:r>
      <w:r w:rsidRPr="004D2CED">
        <w:rPr>
          <w:rFonts w:ascii="Calibri" w:hAnsi="Calibri" w:cs="Arial"/>
        </w:rPr>
        <w:t xml:space="preserve">ere the liable party and </w:t>
      </w:r>
      <w:r>
        <w:rPr>
          <w:rFonts w:ascii="Calibri" w:hAnsi="Calibri" w:cs="Arial"/>
        </w:rPr>
        <w:t>Oxford</w:t>
      </w:r>
      <w:r w:rsidRPr="004D2CED">
        <w:rPr>
          <w:rFonts w:ascii="Calibri" w:hAnsi="Calibri" w:cs="Arial"/>
        </w:rPr>
        <w:t xml:space="preserve"> City Council agree, payment of the </w:t>
      </w:r>
      <w:r w:rsidRPr="006B3A6B">
        <w:rPr>
          <w:rFonts w:ascii="Calibri" w:hAnsi="Calibri" w:cs="Arial"/>
        </w:rPr>
        <w:t xml:space="preserve">levy may </w:t>
      </w:r>
      <w:r w:rsidR="00F03D83" w:rsidRPr="006B3A6B">
        <w:rPr>
          <w:rFonts w:ascii="Calibri" w:hAnsi="Calibri" w:cs="Arial"/>
        </w:rPr>
        <w:t>be made by transferring land</w:t>
      </w:r>
      <w:r w:rsidRPr="006B3A6B">
        <w:rPr>
          <w:rFonts w:ascii="Calibri" w:hAnsi="Calibri" w:cs="Arial"/>
        </w:rPr>
        <w:t>. The agreement cannot form part of a planning obligation</w:t>
      </w:r>
      <w:r w:rsidR="000C4BED" w:rsidRPr="006B3A6B">
        <w:rPr>
          <w:rFonts w:ascii="Calibri" w:hAnsi="Calibri" w:cs="Arial"/>
        </w:rPr>
        <w:t>,</w:t>
      </w:r>
      <w:r w:rsidRPr="006B3A6B">
        <w:rPr>
          <w:rFonts w:ascii="Calibri" w:hAnsi="Calibri" w:cs="Arial"/>
        </w:rPr>
        <w:t xml:space="preserve"> must be entered into before the chargeable development is commenced</w:t>
      </w:r>
      <w:r w:rsidRPr="006B3A6B">
        <w:rPr>
          <w:rStyle w:val="FootnoteReference"/>
          <w:rFonts w:ascii="Calibri" w:hAnsi="Calibri" w:cs="Arial"/>
        </w:rPr>
        <w:footnoteReference w:id="7"/>
      </w:r>
      <w:r w:rsidR="00F03D83" w:rsidRPr="006B3A6B">
        <w:rPr>
          <w:rFonts w:ascii="Calibri" w:hAnsi="Calibri" w:cs="Arial"/>
        </w:rPr>
        <w:t xml:space="preserve"> and </w:t>
      </w:r>
      <w:r w:rsidR="000C4BED" w:rsidRPr="006B3A6B">
        <w:rPr>
          <w:rFonts w:ascii="Calibri" w:hAnsi="Calibri" w:cs="Arial"/>
        </w:rPr>
        <w:t xml:space="preserve">is </w:t>
      </w:r>
      <w:r w:rsidR="00F03D83" w:rsidRPr="006B3A6B">
        <w:rPr>
          <w:rFonts w:ascii="Calibri" w:hAnsi="Calibri" w:cs="Arial"/>
        </w:rPr>
        <w:t xml:space="preserve">subject to </w:t>
      </w:r>
      <w:r w:rsidR="000C4BED" w:rsidRPr="006B3A6B">
        <w:rPr>
          <w:rFonts w:ascii="Calibri" w:hAnsi="Calibri" w:cs="Arial"/>
        </w:rPr>
        <w:t xml:space="preserve">fulfilling </w:t>
      </w:r>
      <w:r w:rsidR="00F03D83" w:rsidRPr="006B3A6B">
        <w:rPr>
          <w:rFonts w:ascii="Calibri" w:hAnsi="Calibri" w:cs="Arial"/>
        </w:rPr>
        <w:t>the following:</w:t>
      </w:r>
    </w:p>
    <w:p w14:paraId="5A263C0E" w14:textId="77777777" w:rsidR="00F03D83" w:rsidRPr="006B3A6B" w:rsidRDefault="00F03D83" w:rsidP="00A74976">
      <w:pPr>
        <w:numPr>
          <w:ilvl w:val="0"/>
          <w:numId w:val="14"/>
        </w:numPr>
        <w:tabs>
          <w:tab w:val="clear" w:pos="540"/>
          <w:tab w:val="num" w:pos="900"/>
        </w:tabs>
        <w:ind w:left="900"/>
        <w:rPr>
          <w:rFonts w:ascii="Calibri" w:hAnsi="Calibri" w:cs="Arial"/>
        </w:rPr>
      </w:pPr>
      <w:r w:rsidRPr="006B3A6B">
        <w:rPr>
          <w:rFonts w:ascii="Calibri" w:hAnsi="Calibri" w:cs="Arial"/>
        </w:rPr>
        <w:t>the acquired land is used to provide or facilitate the provision of infrastructure within Oxford;</w:t>
      </w:r>
    </w:p>
    <w:p w14:paraId="20EA5E89" w14:textId="77777777" w:rsidR="00F03D83" w:rsidRPr="006B3A6B" w:rsidRDefault="00F03D83" w:rsidP="00A74976">
      <w:pPr>
        <w:numPr>
          <w:ilvl w:val="0"/>
          <w:numId w:val="14"/>
        </w:numPr>
        <w:tabs>
          <w:tab w:val="clear" w:pos="540"/>
          <w:tab w:val="num" w:pos="900"/>
        </w:tabs>
        <w:ind w:left="900"/>
        <w:rPr>
          <w:rFonts w:ascii="Calibri" w:hAnsi="Calibri" w:cs="Arial"/>
        </w:rPr>
      </w:pPr>
      <w:r w:rsidRPr="006B3A6B">
        <w:rPr>
          <w:rFonts w:ascii="Calibri" w:hAnsi="Calibri" w:cs="Arial"/>
        </w:rPr>
        <w:t>the land is acquired by Oxford City Council or a person nominated by Oxford City Council;</w:t>
      </w:r>
    </w:p>
    <w:p w14:paraId="0F61DEDD" w14:textId="77777777" w:rsidR="00F03D83" w:rsidRPr="006B3A6B" w:rsidRDefault="00F03D83" w:rsidP="00A74976">
      <w:pPr>
        <w:numPr>
          <w:ilvl w:val="0"/>
          <w:numId w:val="14"/>
        </w:numPr>
        <w:tabs>
          <w:tab w:val="clear" w:pos="540"/>
          <w:tab w:val="num" w:pos="900"/>
        </w:tabs>
        <w:ind w:left="900"/>
        <w:rPr>
          <w:rFonts w:ascii="Calibri" w:hAnsi="Calibri" w:cs="Arial"/>
        </w:rPr>
      </w:pPr>
      <w:r w:rsidRPr="006B3A6B">
        <w:rPr>
          <w:rFonts w:ascii="Calibri" w:hAnsi="Calibri" w:cs="Arial"/>
        </w:rPr>
        <w:t>the transfer of the land must be from a person who h</w:t>
      </w:r>
      <w:r w:rsidR="000C4BED" w:rsidRPr="006B3A6B">
        <w:rPr>
          <w:rFonts w:ascii="Calibri" w:hAnsi="Calibri" w:cs="Arial"/>
        </w:rPr>
        <w:t>as assumed liability to pay CIL;</w:t>
      </w:r>
    </w:p>
    <w:p w14:paraId="77D477CB" w14:textId="77777777" w:rsidR="00F03D83" w:rsidRPr="006B3A6B" w:rsidRDefault="00F03D83" w:rsidP="00A74976">
      <w:pPr>
        <w:numPr>
          <w:ilvl w:val="0"/>
          <w:numId w:val="14"/>
        </w:numPr>
        <w:tabs>
          <w:tab w:val="clear" w:pos="540"/>
          <w:tab w:val="num" w:pos="900"/>
        </w:tabs>
        <w:ind w:left="900"/>
        <w:rPr>
          <w:rFonts w:ascii="Calibri" w:hAnsi="Calibri"/>
        </w:rPr>
      </w:pPr>
      <w:r w:rsidRPr="006B3A6B">
        <w:rPr>
          <w:rFonts w:ascii="Calibri" w:hAnsi="Calibri"/>
        </w:rPr>
        <w:t>the land has to be valued by an independent person agreed by Oxford City Council an</w:t>
      </w:r>
      <w:r w:rsidR="000C4BED" w:rsidRPr="006B3A6B">
        <w:rPr>
          <w:rFonts w:ascii="Calibri" w:hAnsi="Calibri"/>
        </w:rPr>
        <w:t>d the person liable to pay CIL;</w:t>
      </w:r>
    </w:p>
    <w:p w14:paraId="75C23636" w14:textId="77777777" w:rsidR="00F03D83" w:rsidRPr="006B3A6B" w:rsidRDefault="00F03D83" w:rsidP="00A74976">
      <w:pPr>
        <w:numPr>
          <w:ilvl w:val="0"/>
          <w:numId w:val="14"/>
        </w:numPr>
        <w:tabs>
          <w:tab w:val="clear" w:pos="540"/>
          <w:tab w:val="num" w:pos="900"/>
        </w:tabs>
        <w:ind w:left="900"/>
        <w:rPr>
          <w:rFonts w:ascii="Calibri" w:hAnsi="Calibri" w:cs="Arial"/>
        </w:rPr>
      </w:pPr>
      <w:r w:rsidRPr="006B3A6B">
        <w:rPr>
          <w:rFonts w:ascii="Calibri" w:hAnsi="Calibri" w:cs="Arial"/>
        </w:rPr>
        <w:t xml:space="preserve">‘Land’ includes existing buildings and other structures, land covered with water, and any estate, interest, easement, servitude or right in or over the land. </w:t>
      </w:r>
    </w:p>
    <w:p w14:paraId="3041E394" w14:textId="77777777" w:rsidR="00BC5825" w:rsidRDefault="00BC5825" w:rsidP="00621B0F">
      <w:pPr>
        <w:rPr>
          <w:rFonts w:ascii="Calibri" w:hAnsi="Calibri" w:cs="Arial"/>
          <w:b/>
          <w:color w:val="0000FF"/>
        </w:rPr>
      </w:pPr>
    </w:p>
    <w:p w14:paraId="396F6729" w14:textId="77777777" w:rsidR="00621B0F" w:rsidRPr="00861F56" w:rsidRDefault="006B3A6B" w:rsidP="00621B0F">
      <w:pPr>
        <w:rPr>
          <w:rFonts w:ascii="Calibri" w:hAnsi="Calibri" w:cs="Arial"/>
          <w:b/>
          <w:color w:val="007373"/>
        </w:rPr>
      </w:pPr>
      <w:r w:rsidRPr="00861F56">
        <w:rPr>
          <w:rFonts w:ascii="Calibri" w:hAnsi="Calibri" w:cs="Arial"/>
          <w:b/>
          <w:color w:val="007373"/>
        </w:rPr>
        <w:t>Collection of CIL</w:t>
      </w:r>
    </w:p>
    <w:p w14:paraId="7F1096BE" w14:textId="77777777" w:rsidR="00621B0F" w:rsidRPr="00E714E1" w:rsidRDefault="00621B0F" w:rsidP="00A74976">
      <w:pPr>
        <w:numPr>
          <w:ilvl w:val="0"/>
          <w:numId w:val="8"/>
        </w:numPr>
        <w:rPr>
          <w:rFonts w:ascii="Calibri" w:hAnsi="Calibri" w:cs="Arial"/>
        </w:rPr>
      </w:pPr>
      <w:r w:rsidRPr="31522B7C">
        <w:rPr>
          <w:rFonts w:ascii="Calibri" w:hAnsi="Calibri" w:cs="Arial"/>
        </w:rPr>
        <w:t>Oxford City Council is the collecting authority for the purpose of Part 11 of the Planning Act 2008 and CIL Regulations 2010 (as amended).</w:t>
      </w:r>
    </w:p>
    <w:p w14:paraId="722B00AE" w14:textId="77777777" w:rsidR="00621B0F" w:rsidRDefault="00621B0F" w:rsidP="00621B0F">
      <w:pPr>
        <w:rPr>
          <w:rFonts w:ascii="Calibri" w:hAnsi="Calibri" w:cs="Arial"/>
        </w:rPr>
      </w:pPr>
    </w:p>
    <w:p w14:paraId="4628C9E7" w14:textId="77777777" w:rsidR="00621B0F" w:rsidRDefault="00621B0F" w:rsidP="00A74976">
      <w:pPr>
        <w:numPr>
          <w:ilvl w:val="0"/>
          <w:numId w:val="8"/>
        </w:numPr>
        <w:rPr>
          <w:rFonts w:ascii="Calibri" w:hAnsi="Calibri" w:cs="Arial"/>
        </w:rPr>
      </w:pPr>
      <w:r w:rsidRPr="31522B7C">
        <w:rPr>
          <w:rFonts w:ascii="Calibri" w:hAnsi="Calibri" w:cs="Arial"/>
        </w:rPr>
        <w:t>When planning permission is granted, Oxford City Council will issue a liability notice setting out the amount paya</w:t>
      </w:r>
      <w:r w:rsidR="006700AB" w:rsidRPr="31522B7C">
        <w:rPr>
          <w:rFonts w:ascii="Calibri" w:hAnsi="Calibri" w:cs="Arial"/>
        </w:rPr>
        <w:t>ble, and the payment procedure.</w:t>
      </w:r>
    </w:p>
    <w:p w14:paraId="42C6D796" w14:textId="77777777" w:rsidR="00621B0F" w:rsidRDefault="00621B0F" w:rsidP="00621B0F">
      <w:pPr>
        <w:rPr>
          <w:rFonts w:ascii="Calibri" w:hAnsi="Calibri" w:cs="Arial"/>
        </w:rPr>
      </w:pPr>
    </w:p>
    <w:p w14:paraId="577B89B8" w14:textId="77777777" w:rsidR="00621B0F" w:rsidRDefault="00621B0F" w:rsidP="00A74976">
      <w:pPr>
        <w:numPr>
          <w:ilvl w:val="0"/>
          <w:numId w:val="8"/>
        </w:numPr>
        <w:rPr>
          <w:rFonts w:ascii="Calibri" w:hAnsi="Calibri" w:cs="Arial"/>
        </w:rPr>
      </w:pPr>
      <w:r w:rsidRPr="31522B7C">
        <w:rPr>
          <w:rFonts w:ascii="Calibri" w:hAnsi="Calibri" w:cs="Arial"/>
        </w:rPr>
        <w:t xml:space="preserve">In the case of development enabled through permitted development orders, the person(s) liable to pay will need to consider whether their proposed development is chargeable, and to issue Oxford City Council a notice of chargeable development. </w:t>
      </w:r>
    </w:p>
    <w:p w14:paraId="6E1831B3" w14:textId="77777777" w:rsidR="000C4BED" w:rsidRDefault="000C4BED" w:rsidP="000C4BED">
      <w:pPr>
        <w:rPr>
          <w:rFonts w:ascii="Calibri" w:hAnsi="Calibri" w:cs="Arial"/>
        </w:rPr>
      </w:pPr>
    </w:p>
    <w:p w14:paraId="3EAD3917" w14:textId="53A907CE" w:rsidR="000C4BED" w:rsidRDefault="000C4BED" w:rsidP="00A74976">
      <w:pPr>
        <w:numPr>
          <w:ilvl w:val="0"/>
          <w:numId w:val="8"/>
        </w:numPr>
        <w:rPr>
          <w:rFonts w:ascii="Calibri" w:hAnsi="Calibri" w:cs="Arial"/>
        </w:rPr>
      </w:pPr>
      <w:r w:rsidRPr="31522B7C">
        <w:rPr>
          <w:rFonts w:ascii="Calibri" w:hAnsi="Calibri" w:cs="Arial"/>
        </w:rPr>
        <w:t>The diagram below illustrates a summarised version of the collection process</w:t>
      </w:r>
      <w:r w:rsidR="00261B9E" w:rsidRPr="31522B7C">
        <w:rPr>
          <w:rFonts w:ascii="Calibri" w:hAnsi="Calibri" w:cs="Arial"/>
        </w:rPr>
        <w:t>:</w:t>
      </w:r>
    </w:p>
    <w:p w14:paraId="218EB7B1" w14:textId="77777777" w:rsidR="00261B9E" w:rsidRDefault="00261B9E" w:rsidP="00261B9E">
      <w:pPr>
        <w:pStyle w:val="ListParagraph"/>
        <w:rPr>
          <w:rFonts w:ascii="Calibri" w:hAnsi="Calibri" w:cs="Arial"/>
        </w:rPr>
      </w:pPr>
    </w:p>
    <w:p w14:paraId="2B70878E" w14:textId="1686D13A" w:rsidR="00261B9E" w:rsidRDefault="00261B9E" w:rsidP="00261B9E">
      <w:pPr>
        <w:rPr>
          <w:rFonts w:ascii="Calibri" w:hAnsi="Calibri" w:cs="Arial"/>
          <w:b/>
          <w:color w:val="007373"/>
        </w:rPr>
      </w:pPr>
      <w:r w:rsidRPr="00261B9E">
        <w:rPr>
          <w:rFonts w:ascii="Calibri" w:hAnsi="Calibri" w:cs="Arial"/>
          <w:b/>
          <w:color w:val="007373"/>
        </w:rPr>
        <w:t>CIL Collection Process</w:t>
      </w:r>
    </w:p>
    <w:p w14:paraId="07494953" w14:textId="7B29C02A" w:rsidR="00261B9E" w:rsidRDefault="00261B9E" w:rsidP="00261B9E">
      <w:pPr>
        <w:jc w:val="center"/>
        <w:rPr>
          <w:rFonts w:ascii="Calibri" w:hAnsi="Calibri" w:cs="Arial"/>
        </w:rPr>
      </w:pPr>
      <w:r>
        <w:rPr>
          <w:noProof/>
          <w:lang w:eastAsia="en-GB"/>
        </w:rPr>
        <w:drawing>
          <wp:inline distT="0" distB="0" distL="0" distR="0" wp14:anchorId="0BBDF450" wp14:editId="2E205310">
            <wp:extent cx="3362325" cy="2280953"/>
            <wp:effectExtent l="0" t="0" r="0" b="5080"/>
            <wp:docPr id="1" name="Picture 1" descr="Colle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362325" cy="2280953"/>
                    </a:xfrm>
                    <a:prstGeom prst="rect">
                      <a:avLst/>
                    </a:prstGeom>
                  </pic:spPr>
                </pic:pic>
              </a:graphicData>
            </a:graphic>
          </wp:inline>
        </w:drawing>
      </w:r>
    </w:p>
    <w:p w14:paraId="36D7208C" w14:textId="14204C75" w:rsidR="0031759D" w:rsidRPr="00261B9E" w:rsidRDefault="006B3A6B" w:rsidP="00621B0F">
      <w:r w:rsidRPr="00861F56">
        <w:rPr>
          <w:rFonts w:ascii="Calibri" w:hAnsi="Calibri" w:cs="Arial"/>
          <w:b/>
          <w:color w:val="007373"/>
        </w:rPr>
        <w:t>Appeals</w:t>
      </w:r>
    </w:p>
    <w:p w14:paraId="3A2D2217" w14:textId="77777777" w:rsidR="00F03D83" w:rsidRPr="006B3A6B" w:rsidRDefault="00007154" w:rsidP="00A74976">
      <w:pPr>
        <w:numPr>
          <w:ilvl w:val="0"/>
          <w:numId w:val="8"/>
        </w:numPr>
        <w:rPr>
          <w:rFonts w:ascii="Calibri" w:hAnsi="Calibri" w:cs="Arial"/>
        </w:rPr>
      </w:pPr>
      <w:r w:rsidRPr="31522B7C">
        <w:rPr>
          <w:rFonts w:ascii="Calibri" w:hAnsi="Calibri" w:cs="Arial"/>
        </w:rPr>
        <w:t>A liable person ca</w:t>
      </w:r>
      <w:r w:rsidR="00050676" w:rsidRPr="31522B7C">
        <w:rPr>
          <w:rFonts w:ascii="Calibri" w:hAnsi="Calibri" w:cs="Arial"/>
        </w:rPr>
        <w:t xml:space="preserve">n request a review of the chargeable amount by the charging authority within 28 days from the issue of the liability notice. </w:t>
      </w:r>
      <w:r w:rsidR="00F03D83" w:rsidRPr="31522B7C">
        <w:rPr>
          <w:rFonts w:ascii="Calibri" w:hAnsi="Calibri" w:cs="Arial"/>
        </w:rPr>
        <w:t>CIL Regulations allo</w:t>
      </w:r>
      <w:r w:rsidRPr="31522B7C">
        <w:rPr>
          <w:rFonts w:ascii="Calibri" w:hAnsi="Calibri" w:cs="Arial"/>
        </w:rPr>
        <w:t>w for appeals on:</w:t>
      </w:r>
      <w:r w:rsidR="00050676" w:rsidRPr="31522B7C">
        <w:rPr>
          <w:rFonts w:ascii="Calibri" w:hAnsi="Calibri" w:cs="Arial"/>
        </w:rPr>
        <w:t xml:space="preserve"> </w:t>
      </w:r>
    </w:p>
    <w:p w14:paraId="7CB5B6FE" w14:textId="6A3053BA" w:rsidR="00F03D83" w:rsidRPr="006B3A6B" w:rsidRDefault="00AE57D3" w:rsidP="00A74976">
      <w:pPr>
        <w:numPr>
          <w:ilvl w:val="0"/>
          <w:numId w:val="16"/>
        </w:numPr>
        <w:tabs>
          <w:tab w:val="clear" w:pos="540"/>
          <w:tab w:val="num" w:pos="900"/>
        </w:tabs>
        <w:ind w:left="900"/>
        <w:rPr>
          <w:rFonts w:ascii="Calibri" w:hAnsi="Calibri" w:cs="Arial"/>
        </w:rPr>
      </w:pPr>
      <w:r>
        <w:rPr>
          <w:rFonts w:ascii="Calibri" w:hAnsi="Calibri" w:cs="Arial"/>
        </w:rPr>
        <w:t>T</w:t>
      </w:r>
      <w:r w:rsidR="00F03D83" w:rsidRPr="006B3A6B">
        <w:rPr>
          <w:rFonts w:ascii="Calibri" w:hAnsi="Calibri" w:cs="Arial"/>
        </w:rPr>
        <w:t>he calculation of the charge</w:t>
      </w:r>
      <w:r w:rsidR="000C48AD" w:rsidRPr="006B3A6B">
        <w:rPr>
          <w:rFonts w:ascii="Calibri" w:hAnsi="Calibri" w:cs="Arial"/>
        </w:rPr>
        <w:t xml:space="preserve">able amount following a review of the calculation by the </w:t>
      </w:r>
      <w:r w:rsidR="00007154" w:rsidRPr="006B3A6B">
        <w:rPr>
          <w:rFonts w:ascii="Calibri" w:hAnsi="Calibri" w:cs="Arial"/>
        </w:rPr>
        <w:t>City Council</w:t>
      </w:r>
      <w:r w:rsidR="00754E9E" w:rsidRPr="006B3A6B">
        <w:rPr>
          <w:rFonts w:ascii="Calibri" w:hAnsi="Calibri" w:cs="Arial"/>
        </w:rPr>
        <w:t>.</w:t>
      </w:r>
    </w:p>
    <w:p w14:paraId="2EA71694" w14:textId="01E5E7AB" w:rsidR="00F03D83" w:rsidRPr="006B3A6B" w:rsidRDefault="00AE57D3" w:rsidP="00A74976">
      <w:pPr>
        <w:numPr>
          <w:ilvl w:val="0"/>
          <w:numId w:val="15"/>
        </w:numPr>
        <w:tabs>
          <w:tab w:val="clear" w:pos="540"/>
          <w:tab w:val="num" w:pos="900"/>
        </w:tabs>
        <w:ind w:left="900"/>
        <w:rPr>
          <w:rFonts w:ascii="Calibri" w:hAnsi="Calibri" w:cs="Arial"/>
        </w:rPr>
      </w:pPr>
      <w:r>
        <w:rPr>
          <w:rFonts w:ascii="Calibri" w:hAnsi="Calibri" w:cs="Arial"/>
        </w:rPr>
        <w:t>D</w:t>
      </w:r>
      <w:r w:rsidR="00007154" w:rsidRPr="006B3A6B">
        <w:rPr>
          <w:rFonts w:ascii="Calibri" w:hAnsi="Calibri" w:cs="Arial"/>
        </w:rPr>
        <w:t>isagreement</w:t>
      </w:r>
      <w:r w:rsidR="00F03D83" w:rsidRPr="006B3A6B">
        <w:rPr>
          <w:rFonts w:ascii="Calibri" w:hAnsi="Calibri" w:cs="Arial"/>
        </w:rPr>
        <w:t xml:space="preserve"> with </w:t>
      </w:r>
      <w:r w:rsidR="00754E9E" w:rsidRPr="006B3A6B">
        <w:rPr>
          <w:rFonts w:ascii="Calibri" w:hAnsi="Calibri" w:cs="Arial"/>
        </w:rPr>
        <w:t xml:space="preserve">the </w:t>
      </w:r>
      <w:r w:rsidR="00007154" w:rsidRPr="006B3A6B">
        <w:rPr>
          <w:rFonts w:ascii="Calibri" w:hAnsi="Calibri" w:cs="Arial"/>
        </w:rPr>
        <w:t>City Council’s</w:t>
      </w:r>
      <w:r w:rsidR="00F03D83" w:rsidRPr="006B3A6B">
        <w:rPr>
          <w:rFonts w:ascii="Calibri" w:hAnsi="Calibri" w:cs="Arial"/>
        </w:rPr>
        <w:t xml:space="preserve"> apportio</w:t>
      </w:r>
      <w:r w:rsidR="00754E9E" w:rsidRPr="006B3A6B">
        <w:rPr>
          <w:rFonts w:ascii="Calibri" w:hAnsi="Calibri" w:cs="Arial"/>
        </w:rPr>
        <w:t>ned liability to pay the charge.</w:t>
      </w:r>
    </w:p>
    <w:p w14:paraId="378AF47D" w14:textId="3C271178" w:rsidR="00007154" w:rsidRPr="006B3A6B" w:rsidRDefault="00AE57D3" w:rsidP="00A74976">
      <w:pPr>
        <w:numPr>
          <w:ilvl w:val="0"/>
          <w:numId w:val="15"/>
        </w:numPr>
        <w:tabs>
          <w:tab w:val="clear" w:pos="540"/>
          <w:tab w:val="num" w:pos="900"/>
        </w:tabs>
        <w:ind w:left="900"/>
        <w:rPr>
          <w:rFonts w:ascii="Calibri" w:hAnsi="Calibri" w:cs="Arial"/>
        </w:rPr>
      </w:pPr>
      <w:r>
        <w:rPr>
          <w:rFonts w:ascii="Calibri" w:hAnsi="Calibri" w:cs="Arial"/>
        </w:rPr>
        <w:t>A</w:t>
      </w:r>
      <w:r w:rsidR="00050676" w:rsidRPr="006B3A6B">
        <w:rPr>
          <w:rFonts w:ascii="Calibri" w:hAnsi="Calibri" w:cs="Arial"/>
        </w:rPr>
        <w:t xml:space="preserve">ny </w:t>
      </w:r>
      <w:r w:rsidR="00F03D83" w:rsidRPr="006B3A6B">
        <w:rPr>
          <w:rFonts w:ascii="Calibri" w:hAnsi="Calibri" w:cs="Arial"/>
        </w:rPr>
        <w:t xml:space="preserve">surcharges </w:t>
      </w:r>
      <w:r w:rsidR="00050676" w:rsidRPr="006B3A6B">
        <w:rPr>
          <w:rFonts w:ascii="Calibri" w:hAnsi="Calibri" w:cs="Arial"/>
        </w:rPr>
        <w:t>incurred</w:t>
      </w:r>
      <w:r w:rsidR="00F03D83" w:rsidRPr="006B3A6B">
        <w:rPr>
          <w:rFonts w:ascii="Calibri" w:hAnsi="Calibri" w:cs="Arial"/>
        </w:rPr>
        <w:t xml:space="preserve"> on the basis that </w:t>
      </w:r>
      <w:r w:rsidR="00007154" w:rsidRPr="006B3A6B">
        <w:rPr>
          <w:rFonts w:ascii="Calibri" w:hAnsi="Calibri" w:cs="Arial"/>
        </w:rPr>
        <w:t>they</w:t>
      </w:r>
      <w:r w:rsidR="00F03D83" w:rsidRPr="006B3A6B">
        <w:rPr>
          <w:rFonts w:ascii="Calibri" w:hAnsi="Calibri" w:cs="Arial"/>
        </w:rPr>
        <w:t xml:space="preserve"> w</w:t>
      </w:r>
      <w:r w:rsidR="00007154" w:rsidRPr="006B3A6B">
        <w:rPr>
          <w:rFonts w:ascii="Calibri" w:hAnsi="Calibri" w:cs="Arial"/>
        </w:rPr>
        <w:t>ere</w:t>
      </w:r>
      <w:r w:rsidR="00F03D83" w:rsidRPr="006B3A6B">
        <w:rPr>
          <w:rFonts w:ascii="Calibri" w:hAnsi="Calibri" w:cs="Arial"/>
        </w:rPr>
        <w:t xml:space="preserve"> calculated incorrectly,</w:t>
      </w:r>
      <w:r w:rsidR="00154FB3">
        <w:rPr>
          <w:rFonts w:ascii="Calibri" w:hAnsi="Calibri" w:cs="Arial"/>
        </w:rPr>
        <w:t xml:space="preserve"> or</w:t>
      </w:r>
      <w:r w:rsidR="00F03D83" w:rsidRPr="006B3A6B">
        <w:rPr>
          <w:rFonts w:ascii="Calibri" w:hAnsi="Calibri" w:cs="Arial"/>
        </w:rPr>
        <w:t xml:space="preserve"> that a liability notice was not served or the breach did not occur. </w:t>
      </w:r>
    </w:p>
    <w:p w14:paraId="1A2E28E5" w14:textId="4B0863E9" w:rsidR="00F03D83" w:rsidRPr="006B3A6B" w:rsidRDefault="00AE57D3" w:rsidP="00A74976">
      <w:pPr>
        <w:numPr>
          <w:ilvl w:val="0"/>
          <w:numId w:val="15"/>
        </w:numPr>
        <w:tabs>
          <w:tab w:val="clear" w:pos="540"/>
          <w:tab w:val="num" w:pos="900"/>
        </w:tabs>
        <w:ind w:left="900"/>
        <w:rPr>
          <w:rFonts w:ascii="Calibri" w:hAnsi="Calibri" w:cs="Arial"/>
        </w:rPr>
      </w:pPr>
      <w:r>
        <w:rPr>
          <w:rFonts w:ascii="Calibri" w:hAnsi="Calibri" w:cs="Arial"/>
        </w:rPr>
        <w:t>A</w:t>
      </w:r>
      <w:r w:rsidR="00F03D83" w:rsidRPr="006B3A6B">
        <w:rPr>
          <w:rFonts w:ascii="Calibri" w:hAnsi="Calibri" w:cs="Arial"/>
        </w:rPr>
        <w:t xml:space="preserve"> deemed commencement date if consider</w:t>
      </w:r>
      <w:r w:rsidR="00007154" w:rsidRPr="006B3A6B">
        <w:rPr>
          <w:rFonts w:ascii="Calibri" w:hAnsi="Calibri" w:cs="Arial"/>
        </w:rPr>
        <w:t>ed</w:t>
      </w:r>
      <w:r w:rsidR="00F03D83" w:rsidRPr="006B3A6B">
        <w:rPr>
          <w:rFonts w:ascii="Calibri" w:hAnsi="Calibri" w:cs="Arial"/>
        </w:rPr>
        <w:t xml:space="preserve"> that the date h</w:t>
      </w:r>
      <w:r w:rsidR="00007154" w:rsidRPr="006B3A6B">
        <w:rPr>
          <w:rFonts w:ascii="Calibri" w:hAnsi="Calibri" w:cs="Arial"/>
        </w:rPr>
        <w:t>as been determined incorrectly</w:t>
      </w:r>
      <w:r w:rsidR="00754E9E" w:rsidRPr="006B3A6B">
        <w:rPr>
          <w:rFonts w:ascii="Calibri" w:hAnsi="Calibri" w:cs="Arial"/>
        </w:rPr>
        <w:t>.</w:t>
      </w:r>
    </w:p>
    <w:p w14:paraId="0345D5C6" w14:textId="07FF6F96" w:rsidR="00D225D0" w:rsidRPr="006B3A6B" w:rsidRDefault="00AE57D3" w:rsidP="00A74976">
      <w:pPr>
        <w:numPr>
          <w:ilvl w:val="0"/>
          <w:numId w:val="15"/>
        </w:numPr>
        <w:tabs>
          <w:tab w:val="clear" w:pos="540"/>
          <w:tab w:val="num" w:pos="900"/>
        </w:tabs>
        <w:ind w:left="900"/>
        <w:rPr>
          <w:rFonts w:ascii="Calibri" w:hAnsi="Calibri" w:cs="Arial"/>
        </w:rPr>
      </w:pPr>
      <w:r>
        <w:rPr>
          <w:rFonts w:ascii="Calibri" w:hAnsi="Calibri" w:cs="Arial"/>
        </w:rPr>
        <w:t>A</w:t>
      </w:r>
      <w:r w:rsidR="00007154" w:rsidRPr="006B3A6B">
        <w:rPr>
          <w:rFonts w:ascii="Calibri" w:hAnsi="Calibri" w:cs="Arial"/>
        </w:rPr>
        <w:t xml:space="preserve">gainst a stop notice </w:t>
      </w:r>
      <w:r w:rsidR="00F03D83" w:rsidRPr="006B3A6B">
        <w:rPr>
          <w:rFonts w:ascii="Calibri" w:hAnsi="Calibri" w:cs="Arial"/>
        </w:rPr>
        <w:t>if a warning notice was not issued or the de</w:t>
      </w:r>
      <w:r w:rsidR="00007154" w:rsidRPr="006B3A6B">
        <w:rPr>
          <w:rFonts w:ascii="Calibri" w:hAnsi="Calibri" w:cs="Arial"/>
        </w:rPr>
        <w:t>velopment has not yet commenced</w:t>
      </w:r>
      <w:r w:rsidR="00754E9E" w:rsidRPr="006B3A6B">
        <w:rPr>
          <w:rFonts w:ascii="Calibri" w:hAnsi="Calibri" w:cs="Arial"/>
        </w:rPr>
        <w:t>.</w:t>
      </w:r>
    </w:p>
    <w:p w14:paraId="16287F21" w14:textId="77777777" w:rsidR="00D225D0" w:rsidRPr="006B3A6B" w:rsidRDefault="00D225D0" w:rsidP="00D225D0">
      <w:pPr>
        <w:rPr>
          <w:rFonts w:ascii="Calibri" w:hAnsi="Calibri" w:cs="Arial"/>
        </w:rPr>
      </w:pPr>
    </w:p>
    <w:p w14:paraId="69431D27" w14:textId="56621DC2" w:rsidR="00F03D83" w:rsidRPr="006B3A6B" w:rsidRDefault="00D225D0" w:rsidP="00A74976">
      <w:pPr>
        <w:numPr>
          <w:ilvl w:val="0"/>
          <w:numId w:val="8"/>
        </w:numPr>
        <w:rPr>
          <w:rFonts w:ascii="Calibri" w:hAnsi="Calibri" w:cs="Arial"/>
        </w:rPr>
      </w:pPr>
      <w:r w:rsidRPr="31522B7C">
        <w:rPr>
          <w:rFonts w:ascii="Calibri" w:hAnsi="Calibri" w:cs="Arial"/>
        </w:rPr>
        <w:t>A</w:t>
      </w:r>
      <w:r w:rsidR="00754E9E" w:rsidRPr="31522B7C">
        <w:rPr>
          <w:rFonts w:ascii="Calibri" w:hAnsi="Calibri" w:cs="Arial"/>
        </w:rPr>
        <w:t xml:space="preserve"> person aggrieved </w:t>
      </w:r>
      <w:r w:rsidR="00F03D83" w:rsidRPr="31522B7C">
        <w:rPr>
          <w:rFonts w:ascii="Calibri" w:hAnsi="Calibri" w:cs="Arial"/>
        </w:rPr>
        <w:t>by the levy</w:t>
      </w:r>
      <w:r w:rsidR="00007154" w:rsidRPr="31522B7C">
        <w:rPr>
          <w:rFonts w:ascii="Calibri" w:hAnsi="Calibri" w:cs="Arial"/>
        </w:rPr>
        <w:t xml:space="preserve"> (or attempt to levy)</w:t>
      </w:r>
      <w:r w:rsidR="00D45260" w:rsidRPr="31522B7C">
        <w:rPr>
          <w:rFonts w:ascii="Calibri" w:hAnsi="Calibri" w:cs="Arial"/>
        </w:rPr>
        <w:t>,</w:t>
      </w:r>
      <w:r w:rsidR="00754E9E" w:rsidRPr="31522B7C">
        <w:rPr>
          <w:rFonts w:ascii="Calibri" w:hAnsi="Calibri" w:cs="Arial"/>
        </w:rPr>
        <w:t xml:space="preserve"> </w:t>
      </w:r>
      <w:r w:rsidR="00D620EC" w:rsidRPr="31522B7C">
        <w:rPr>
          <w:rFonts w:ascii="Calibri" w:hAnsi="Calibri" w:cs="Arial"/>
        </w:rPr>
        <w:t xml:space="preserve">a distress </w:t>
      </w:r>
      <w:r w:rsidR="00D45260" w:rsidRPr="31522B7C">
        <w:rPr>
          <w:rFonts w:ascii="Calibri" w:hAnsi="Calibri" w:cs="Arial"/>
        </w:rPr>
        <w:t>may</w:t>
      </w:r>
      <w:r w:rsidR="00754E9E" w:rsidRPr="31522B7C">
        <w:rPr>
          <w:rFonts w:ascii="Calibri" w:hAnsi="Calibri" w:cs="Arial"/>
        </w:rPr>
        <w:t xml:space="preserve"> appeal to the Magistrates Court</w:t>
      </w:r>
      <w:r w:rsidR="00D45260" w:rsidRPr="31522B7C">
        <w:rPr>
          <w:rFonts w:ascii="Calibri" w:hAnsi="Calibri" w:cs="Arial"/>
        </w:rPr>
        <w:t xml:space="preserve"> (regulation 99)</w:t>
      </w:r>
      <w:r w:rsidR="00007154" w:rsidRPr="31522B7C">
        <w:rPr>
          <w:rFonts w:ascii="Calibri" w:hAnsi="Calibri" w:cs="Arial"/>
        </w:rPr>
        <w:t>.</w:t>
      </w:r>
    </w:p>
    <w:p w14:paraId="5BE93A62" w14:textId="77777777" w:rsidR="00296F18" w:rsidRDefault="00296F18" w:rsidP="0031759D">
      <w:pPr>
        <w:rPr>
          <w:rFonts w:ascii="Calibri" w:hAnsi="Calibri" w:cs="Arial"/>
        </w:rPr>
      </w:pPr>
    </w:p>
    <w:p w14:paraId="6CF995A6" w14:textId="66990980" w:rsidR="0031759D" w:rsidRPr="00861F56" w:rsidRDefault="006B3A6B" w:rsidP="0031759D">
      <w:pPr>
        <w:rPr>
          <w:rFonts w:ascii="Calibri" w:hAnsi="Calibri" w:cs="Arial"/>
          <w:b/>
          <w:color w:val="007373"/>
        </w:rPr>
      </w:pPr>
      <w:r w:rsidRPr="00861F56">
        <w:rPr>
          <w:rFonts w:ascii="Calibri" w:hAnsi="Calibri" w:cs="Arial"/>
          <w:b/>
          <w:color w:val="007373"/>
        </w:rPr>
        <w:t>Spending</w:t>
      </w:r>
      <w:r w:rsidR="002A2491">
        <w:rPr>
          <w:rFonts w:ascii="Calibri" w:hAnsi="Calibri" w:cs="Arial"/>
          <w:b/>
          <w:color w:val="007373"/>
        </w:rPr>
        <w:t xml:space="preserve"> and reporting on</w:t>
      </w:r>
      <w:r w:rsidRPr="00861F56">
        <w:rPr>
          <w:rFonts w:ascii="Calibri" w:hAnsi="Calibri" w:cs="Arial"/>
          <w:b/>
          <w:color w:val="007373"/>
        </w:rPr>
        <w:t xml:space="preserve"> CIL revenue</w:t>
      </w:r>
    </w:p>
    <w:p w14:paraId="53DA4FEB" w14:textId="47A0F48A" w:rsidR="00050676" w:rsidRPr="00C976DC" w:rsidRDefault="00621B0F" w:rsidP="00A74976">
      <w:pPr>
        <w:numPr>
          <w:ilvl w:val="0"/>
          <w:numId w:val="8"/>
        </w:numPr>
        <w:rPr>
          <w:rFonts w:ascii="Calibri" w:hAnsi="Calibri" w:cs="Arial"/>
          <w:color w:val="000000" w:themeColor="text1"/>
        </w:rPr>
      </w:pPr>
      <w:r w:rsidRPr="31522B7C">
        <w:rPr>
          <w:rFonts w:ascii="Calibri" w:hAnsi="Calibri" w:cs="Arial"/>
          <w:color w:val="000000" w:themeColor="text1"/>
        </w:rPr>
        <w:t xml:space="preserve">CIL revenue will be spent on the infrastructure needed to support development in Oxford. Oxford City Council will publish on its website a list of infrastructure projects or types of infrastructure </w:t>
      </w:r>
      <w:r w:rsidR="00F35A8D" w:rsidRPr="31522B7C">
        <w:rPr>
          <w:rFonts w:ascii="Calibri" w:hAnsi="Calibri" w:cs="Arial"/>
          <w:color w:val="000000" w:themeColor="text1"/>
        </w:rPr>
        <w:t>that may</w:t>
      </w:r>
      <w:r w:rsidRPr="31522B7C">
        <w:rPr>
          <w:rFonts w:ascii="Calibri" w:hAnsi="Calibri" w:cs="Arial"/>
          <w:color w:val="000000" w:themeColor="text1"/>
        </w:rPr>
        <w:t xml:space="preserve"> be wholly or par</w:t>
      </w:r>
      <w:r w:rsidR="004B2778" w:rsidRPr="31522B7C">
        <w:rPr>
          <w:rFonts w:ascii="Calibri" w:hAnsi="Calibri" w:cs="Arial"/>
          <w:color w:val="000000" w:themeColor="text1"/>
        </w:rPr>
        <w:t>t</w:t>
      </w:r>
      <w:r w:rsidRPr="31522B7C">
        <w:rPr>
          <w:rFonts w:ascii="Calibri" w:hAnsi="Calibri" w:cs="Arial"/>
          <w:color w:val="000000" w:themeColor="text1"/>
        </w:rPr>
        <w:t xml:space="preserve">ly funded by </w:t>
      </w:r>
      <w:r w:rsidR="004B2778" w:rsidRPr="31522B7C">
        <w:rPr>
          <w:rFonts w:ascii="Calibri" w:hAnsi="Calibri" w:cs="Arial"/>
          <w:color w:val="000000" w:themeColor="text1"/>
        </w:rPr>
        <w:t>the levy</w:t>
      </w:r>
      <w:r w:rsidRPr="31522B7C">
        <w:rPr>
          <w:rFonts w:ascii="Calibri" w:hAnsi="Calibri" w:cs="Arial"/>
          <w:color w:val="000000" w:themeColor="text1"/>
        </w:rPr>
        <w:t xml:space="preserve">. </w:t>
      </w:r>
      <w:r w:rsidR="00E65E6E" w:rsidRPr="31522B7C">
        <w:rPr>
          <w:rFonts w:ascii="Calibri" w:hAnsi="Calibri" w:cs="Arial"/>
          <w:color w:val="000000" w:themeColor="text1"/>
        </w:rPr>
        <w:t>T</w:t>
      </w:r>
      <w:r w:rsidRPr="31522B7C">
        <w:rPr>
          <w:rFonts w:ascii="Calibri" w:hAnsi="Calibri" w:cs="Arial"/>
          <w:color w:val="000000" w:themeColor="text1"/>
        </w:rPr>
        <w:t>his list</w:t>
      </w:r>
      <w:r w:rsidR="00FF73B2" w:rsidRPr="31522B7C">
        <w:rPr>
          <w:rFonts w:ascii="Calibri" w:hAnsi="Calibri" w:cs="Arial"/>
          <w:color w:val="000000" w:themeColor="text1"/>
        </w:rPr>
        <w:t xml:space="preserve"> for CIL </w:t>
      </w:r>
      <w:r w:rsidR="0013615E" w:rsidRPr="31522B7C">
        <w:rPr>
          <w:rFonts w:ascii="Calibri" w:hAnsi="Calibri" w:cs="Arial"/>
          <w:color w:val="000000" w:themeColor="text1"/>
        </w:rPr>
        <w:t>expenditure</w:t>
      </w:r>
      <w:r w:rsidRPr="31522B7C">
        <w:rPr>
          <w:rFonts w:ascii="Calibri" w:hAnsi="Calibri" w:cs="Arial"/>
          <w:color w:val="000000" w:themeColor="text1"/>
        </w:rPr>
        <w:t xml:space="preserve"> </w:t>
      </w:r>
      <w:r w:rsidR="006700AB" w:rsidRPr="31522B7C">
        <w:rPr>
          <w:rFonts w:ascii="Calibri" w:hAnsi="Calibri" w:cs="Arial"/>
          <w:color w:val="000000" w:themeColor="text1"/>
        </w:rPr>
        <w:t>is</w:t>
      </w:r>
      <w:r w:rsidR="004F24C3" w:rsidRPr="31522B7C">
        <w:rPr>
          <w:rFonts w:ascii="Calibri" w:hAnsi="Calibri" w:cs="Arial"/>
          <w:color w:val="000000" w:themeColor="text1"/>
        </w:rPr>
        <w:t xml:space="preserve"> </w:t>
      </w:r>
      <w:r w:rsidR="00D134FB" w:rsidRPr="31522B7C">
        <w:rPr>
          <w:rFonts w:ascii="Calibri" w:hAnsi="Calibri" w:cs="Arial"/>
          <w:color w:val="000000" w:themeColor="text1"/>
        </w:rPr>
        <w:t>set out each year in the Council’s Infrastructure Funding Statement</w:t>
      </w:r>
      <w:r w:rsidR="00E61237" w:rsidRPr="31522B7C">
        <w:rPr>
          <w:rFonts w:ascii="Calibri" w:hAnsi="Calibri" w:cs="Arial"/>
          <w:color w:val="000000" w:themeColor="text1"/>
        </w:rPr>
        <w:t xml:space="preserve">, and the </w:t>
      </w:r>
      <w:r w:rsidR="001D75E1" w:rsidRPr="31522B7C">
        <w:rPr>
          <w:rFonts w:ascii="Calibri" w:hAnsi="Calibri" w:cs="Arial"/>
          <w:color w:val="000000" w:themeColor="text1"/>
        </w:rPr>
        <w:t>full</w:t>
      </w:r>
      <w:r w:rsidR="00E61237" w:rsidRPr="31522B7C">
        <w:rPr>
          <w:rFonts w:ascii="Calibri" w:hAnsi="Calibri" w:cs="Arial"/>
          <w:color w:val="000000" w:themeColor="text1"/>
        </w:rPr>
        <w:t xml:space="preserve"> infrastructure </w:t>
      </w:r>
      <w:r w:rsidR="001D75E1" w:rsidRPr="31522B7C">
        <w:rPr>
          <w:rFonts w:ascii="Calibri" w:hAnsi="Calibri" w:cs="Arial"/>
          <w:color w:val="000000" w:themeColor="text1"/>
        </w:rPr>
        <w:t xml:space="preserve">list for Oxford City is set out in the Infrastructure </w:t>
      </w:r>
      <w:r w:rsidR="00E32628" w:rsidRPr="31522B7C">
        <w:rPr>
          <w:rFonts w:ascii="Calibri" w:hAnsi="Calibri" w:cs="Arial"/>
          <w:color w:val="000000" w:themeColor="text1"/>
        </w:rPr>
        <w:t>D</w:t>
      </w:r>
      <w:r w:rsidR="001D75E1" w:rsidRPr="31522B7C">
        <w:rPr>
          <w:rFonts w:ascii="Calibri" w:hAnsi="Calibri" w:cs="Arial"/>
          <w:color w:val="000000" w:themeColor="text1"/>
        </w:rPr>
        <w:t xml:space="preserve">elivery </w:t>
      </w:r>
      <w:r w:rsidR="00E32628" w:rsidRPr="31522B7C">
        <w:rPr>
          <w:rFonts w:ascii="Calibri" w:hAnsi="Calibri" w:cs="Arial"/>
          <w:color w:val="000000" w:themeColor="text1"/>
        </w:rPr>
        <w:t>P</w:t>
      </w:r>
      <w:r w:rsidR="001D75E1" w:rsidRPr="31522B7C">
        <w:rPr>
          <w:rFonts w:ascii="Calibri" w:hAnsi="Calibri" w:cs="Arial"/>
          <w:color w:val="000000" w:themeColor="text1"/>
        </w:rPr>
        <w:t>lan</w:t>
      </w:r>
      <w:r w:rsidR="00D134FB" w:rsidRPr="31522B7C">
        <w:rPr>
          <w:rFonts w:ascii="Calibri" w:hAnsi="Calibri" w:cs="Arial"/>
          <w:color w:val="000000" w:themeColor="text1"/>
        </w:rPr>
        <w:t>.</w:t>
      </w:r>
    </w:p>
    <w:p w14:paraId="384BA73E" w14:textId="77777777" w:rsidR="00621B0F" w:rsidRDefault="00621B0F" w:rsidP="00621B0F">
      <w:pPr>
        <w:rPr>
          <w:rFonts w:ascii="Calibri" w:hAnsi="Calibri" w:cs="Arial"/>
        </w:rPr>
      </w:pPr>
    </w:p>
    <w:p w14:paraId="4EA5DBAF" w14:textId="00D7BED7" w:rsidR="00621B0F" w:rsidRDefault="00621B0F" w:rsidP="00A74976">
      <w:pPr>
        <w:numPr>
          <w:ilvl w:val="0"/>
          <w:numId w:val="8"/>
        </w:numPr>
        <w:rPr>
          <w:rFonts w:ascii="Calibri" w:hAnsi="Calibri" w:cs="Arial"/>
        </w:rPr>
      </w:pPr>
      <w:r w:rsidRPr="31522B7C">
        <w:rPr>
          <w:rFonts w:ascii="Calibri" w:hAnsi="Calibri" w:cs="Arial"/>
        </w:rPr>
        <w:t xml:space="preserve">Oxford City Council will publish </w:t>
      </w:r>
      <w:r w:rsidR="00F27A9B" w:rsidRPr="31522B7C">
        <w:rPr>
          <w:rFonts w:ascii="Calibri" w:hAnsi="Calibri" w:cs="Arial"/>
        </w:rPr>
        <w:t>an annual Infrastructure Funding Statement</w:t>
      </w:r>
      <w:r w:rsidRPr="31522B7C">
        <w:rPr>
          <w:rFonts w:ascii="Calibri" w:hAnsi="Calibri" w:cs="Arial"/>
        </w:rPr>
        <w:t>, for each financial year</w:t>
      </w:r>
      <w:r w:rsidR="00F27A9B" w:rsidRPr="31522B7C">
        <w:rPr>
          <w:rFonts w:ascii="Calibri" w:hAnsi="Calibri" w:cs="Arial"/>
        </w:rPr>
        <w:t xml:space="preserve"> including</w:t>
      </w:r>
      <w:r w:rsidRPr="31522B7C">
        <w:rPr>
          <w:rFonts w:ascii="Calibri" w:hAnsi="Calibri" w:cs="Arial"/>
        </w:rPr>
        <w:t>:</w:t>
      </w:r>
    </w:p>
    <w:p w14:paraId="6F1A4BE2" w14:textId="0BD307A5" w:rsidR="00621B0F" w:rsidRPr="004D2CED" w:rsidRDefault="00621B0F" w:rsidP="00A74976">
      <w:pPr>
        <w:numPr>
          <w:ilvl w:val="0"/>
          <w:numId w:val="9"/>
        </w:numPr>
        <w:tabs>
          <w:tab w:val="clear" w:pos="540"/>
          <w:tab w:val="num" w:pos="900"/>
        </w:tabs>
        <w:ind w:left="900"/>
        <w:rPr>
          <w:rFonts w:ascii="Calibri" w:hAnsi="Calibri" w:cs="Arial"/>
        </w:rPr>
      </w:pPr>
      <w:r w:rsidRPr="004D2CED">
        <w:rPr>
          <w:rFonts w:ascii="Calibri" w:hAnsi="Calibri" w:cs="Arial"/>
        </w:rPr>
        <w:t>How much has been collected in CIL</w:t>
      </w:r>
      <w:r w:rsidR="00F27A9B">
        <w:rPr>
          <w:rFonts w:ascii="Calibri" w:hAnsi="Calibri" w:cs="Arial"/>
        </w:rPr>
        <w:t xml:space="preserve"> and S106 contribution</w:t>
      </w:r>
      <w:r w:rsidR="00061519">
        <w:rPr>
          <w:rFonts w:ascii="Calibri" w:hAnsi="Calibri" w:cs="Arial"/>
        </w:rPr>
        <w:t>s</w:t>
      </w:r>
      <w:r w:rsidRPr="004D2CED">
        <w:rPr>
          <w:rFonts w:ascii="Calibri" w:hAnsi="Calibri" w:cs="Arial"/>
        </w:rPr>
        <w:t>;</w:t>
      </w:r>
    </w:p>
    <w:p w14:paraId="05E9CC15" w14:textId="77777777" w:rsidR="00621B0F" w:rsidRPr="004D2CED" w:rsidRDefault="00621B0F" w:rsidP="00A74976">
      <w:pPr>
        <w:numPr>
          <w:ilvl w:val="0"/>
          <w:numId w:val="9"/>
        </w:numPr>
        <w:tabs>
          <w:tab w:val="clear" w:pos="540"/>
          <w:tab w:val="num" w:pos="900"/>
        </w:tabs>
        <w:ind w:left="900"/>
        <w:rPr>
          <w:rFonts w:ascii="Calibri" w:hAnsi="Calibri" w:cs="Arial"/>
        </w:rPr>
      </w:pPr>
      <w:r w:rsidRPr="004D2CED">
        <w:rPr>
          <w:rFonts w:ascii="Calibri" w:hAnsi="Calibri" w:cs="Arial"/>
        </w:rPr>
        <w:t>How much has been spent;</w:t>
      </w:r>
    </w:p>
    <w:p w14:paraId="61295013" w14:textId="77777777" w:rsidR="00621B0F" w:rsidRPr="004D2CED" w:rsidRDefault="00621B0F" w:rsidP="00A74976">
      <w:pPr>
        <w:numPr>
          <w:ilvl w:val="0"/>
          <w:numId w:val="9"/>
        </w:numPr>
        <w:tabs>
          <w:tab w:val="clear" w:pos="540"/>
          <w:tab w:val="num" w:pos="900"/>
        </w:tabs>
        <w:ind w:left="900"/>
        <w:rPr>
          <w:rFonts w:ascii="Calibri" w:hAnsi="Calibri" w:cs="Arial"/>
        </w:rPr>
      </w:pPr>
      <w:r w:rsidRPr="004D2CED">
        <w:rPr>
          <w:rFonts w:ascii="Calibri" w:hAnsi="Calibri" w:cs="Arial"/>
        </w:rPr>
        <w:t>The infrastructure on which it has been spent;</w:t>
      </w:r>
    </w:p>
    <w:p w14:paraId="2D5D80C7" w14:textId="77777777" w:rsidR="00621B0F" w:rsidRPr="004D2CED" w:rsidRDefault="00621B0F" w:rsidP="00A74976">
      <w:pPr>
        <w:numPr>
          <w:ilvl w:val="0"/>
          <w:numId w:val="9"/>
        </w:numPr>
        <w:tabs>
          <w:tab w:val="clear" w:pos="540"/>
          <w:tab w:val="num" w:pos="900"/>
        </w:tabs>
        <w:ind w:left="900"/>
        <w:rPr>
          <w:rFonts w:ascii="Calibri" w:hAnsi="Calibri" w:cs="Arial"/>
        </w:rPr>
      </w:pPr>
      <w:r w:rsidRPr="004D2CED">
        <w:rPr>
          <w:rFonts w:ascii="Calibri" w:hAnsi="Calibri" w:cs="Arial"/>
        </w:rPr>
        <w:t>Any amount used to repay borrowed money;</w:t>
      </w:r>
    </w:p>
    <w:p w14:paraId="183DA6AF" w14:textId="77777777" w:rsidR="00621B0F" w:rsidRDefault="00621B0F" w:rsidP="00A74976">
      <w:pPr>
        <w:numPr>
          <w:ilvl w:val="0"/>
          <w:numId w:val="9"/>
        </w:numPr>
        <w:tabs>
          <w:tab w:val="clear" w:pos="540"/>
          <w:tab w:val="num" w:pos="900"/>
        </w:tabs>
        <w:ind w:left="900"/>
        <w:rPr>
          <w:rFonts w:ascii="Calibri" w:hAnsi="Calibri" w:cs="Arial"/>
        </w:rPr>
      </w:pPr>
      <w:r>
        <w:rPr>
          <w:rFonts w:ascii="Calibri" w:hAnsi="Calibri" w:cs="Arial"/>
        </w:rPr>
        <w:t>Amount of CI</w:t>
      </w:r>
      <w:r w:rsidRPr="004D2CED">
        <w:rPr>
          <w:rFonts w:ascii="Calibri" w:hAnsi="Calibri" w:cs="Arial"/>
        </w:rPr>
        <w:t>L</w:t>
      </w:r>
      <w:r>
        <w:rPr>
          <w:rFonts w:ascii="Calibri" w:hAnsi="Calibri" w:cs="Arial"/>
        </w:rPr>
        <w:t xml:space="preserve"> </w:t>
      </w:r>
      <w:r w:rsidRPr="004D2CED">
        <w:rPr>
          <w:rFonts w:ascii="Calibri" w:hAnsi="Calibri" w:cs="Arial"/>
        </w:rPr>
        <w:t>retained at the end of the reported year.</w:t>
      </w:r>
    </w:p>
    <w:p w14:paraId="34B3F2EB" w14:textId="77777777" w:rsidR="00621B0F" w:rsidRDefault="00621B0F" w:rsidP="00621B0F">
      <w:pPr>
        <w:ind w:left="540"/>
        <w:rPr>
          <w:rFonts w:ascii="Calibri" w:hAnsi="Calibri" w:cs="Arial"/>
        </w:rPr>
      </w:pPr>
    </w:p>
    <w:p w14:paraId="08953356" w14:textId="307EF1CC" w:rsidR="00621B0F" w:rsidRDefault="00696BF8" w:rsidP="00A74976">
      <w:pPr>
        <w:numPr>
          <w:ilvl w:val="0"/>
          <w:numId w:val="8"/>
        </w:numPr>
        <w:rPr>
          <w:rFonts w:ascii="Calibri" w:hAnsi="Calibri" w:cs="Arial"/>
        </w:rPr>
      </w:pPr>
      <w:r>
        <w:rPr>
          <w:rFonts w:ascii="Calibri" w:hAnsi="Calibri" w:cs="Arial"/>
        </w:rPr>
        <w:t>It is the Government</w:t>
      </w:r>
      <w:r w:rsidR="00754E9E">
        <w:rPr>
          <w:rFonts w:ascii="Calibri" w:hAnsi="Calibri" w:cs="Arial"/>
        </w:rPr>
        <w:t>’s</w:t>
      </w:r>
      <w:r>
        <w:rPr>
          <w:rFonts w:ascii="Calibri" w:hAnsi="Calibri" w:cs="Arial"/>
        </w:rPr>
        <w:t xml:space="preserve"> intention to </w:t>
      </w:r>
      <w:r w:rsidR="00621B0F" w:rsidRPr="00940AD6">
        <w:rPr>
          <w:rFonts w:ascii="Calibri" w:hAnsi="Calibri" w:cs="Arial"/>
        </w:rPr>
        <w:t>allow for a proportion of CIL to be p</w:t>
      </w:r>
      <w:r w:rsidR="00621B0F">
        <w:rPr>
          <w:rFonts w:ascii="Calibri" w:hAnsi="Calibri" w:cs="Arial"/>
        </w:rPr>
        <w:t>assed to Parish Councils and Neighbourhoods</w:t>
      </w:r>
      <w:r w:rsidR="00F35A8D">
        <w:rPr>
          <w:rStyle w:val="FootnoteReference"/>
          <w:rFonts w:ascii="Calibri" w:hAnsi="Calibri" w:cs="Arial"/>
        </w:rPr>
        <w:footnoteReference w:id="8"/>
      </w:r>
      <w:r w:rsidR="004E49AF" w:rsidRPr="006F55B6">
        <w:rPr>
          <w:rFonts w:ascii="Calibri" w:hAnsi="Calibri" w:cs="Arial"/>
        </w:rPr>
        <w:t>.</w:t>
      </w:r>
      <w:r w:rsidR="00EF2C26">
        <w:rPr>
          <w:rFonts w:ascii="Calibri" w:hAnsi="Calibri" w:cs="Arial"/>
        </w:rPr>
        <w:t xml:space="preserve">  15% of CIL receipts in parished areas are to be passed to the relevant Parish Council.  In unparished areas, this 15% would be held by the City Council and spent in </w:t>
      </w:r>
      <w:r w:rsidR="499702C9">
        <w:rPr>
          <w:rFonts w:ascii="Calibri" w:hAnsi="Calibri" w:cs="Arial"/>
        </w:rPr>
        <w:t>consultation with</w:t>
      </w:r>
      <w:r w:rsidR="00EF2C26">
        <w:rPr>
          <w:rFonts w:ascii="Calibri" w:hAnsi="Calibri" w:cs="Arial"/>
        </w:rPr>
        <w:t xml:space="preserve"> the community.  The proportion would rise to 25% in areas with adopted Neighbourhood Plans.</w:t>
      </w:r>
      <w:r w:rsidR="004E49AF" w:rsidRPr="006F55B6">
        <w:rPr>
          <w:rFonts w:ascii="Calibri" w:hAnsi="Calibri" w:cs="Arial"/>
        </w:rPr>
        <w:t xml:space="preserve"> </w:t>
      </w:r>
      <w:r w:rsidR="001A3834">
        <w:rPr>
          <w:rFonts w:ascii="Calibri" w:hAnsi="Calibri" w:cs="Arial"/>
        </w:rPr>
        <w:t xml:space="preserve">  </w:t>
      </w:r>
    </w:p>
    <w:p w14:paraId="7D34F5C7" w14:textId="77777777" w:rsidR="00655169" w:rsidRDefault="00655169" w:rsidP="00655169">
      <w:pPr>
        <w:rPr>
          <w:rFonts w:ascii="Calibri" w:hAnsi="Calibri" w:cs="Arial"/>
          <w:b/>
          <w:color w:val="0000FF"/>
        </w:rPr>
      </w:pPr>
    </w:p>
    <w:p w14:paraId="76151DE1" w14:textId="4DFB16FF" w:rsidR="00655169" w:rsidRPr="00861F56" w:rsidRDefault="00655169" w:rsidP="00655169">
      <w:pPr>
        <w:rPr>
          <w:rFonts w:ascii="Calibri" w:hAnsi="Calibri" w:cs="Arial"/>
          <w:b/>
          <w:color w:val="007373"/>
        </w:rPr>
      </w:pPr>
      <w:r w:rsidRPr="00861F56">
        <w:rPr>
          <w:rFonts w:ascii="Calibri" w:hAnsi="Calibri" w:cs="Arial"/>
          <w:b/>
          <w:color w:val="007373"/>
        </w:rPr>
        <w:t>Administration fee</w:t>
      </w:r>
    </w:p>
    <w:p w14:paraId="2B45F468" w14:textId="77777777" w:rsidR="00655169" w:rsidRDefault="00655169" w:rsidP="00A74976">
      <w:pPr>
        <w:numPr>
          <w:ilvl w:val="0"/>
          <w:numId w:val="8"/>
        </w:numPr>
        <w:rPr>
          <w:rFonts w:ascii="Calibri" w:hAnsi="Calibri" w:cs="Arial"/>
        </w:rPr>
      </w:pPr>
      <w:r w:rsidRPr="31522B7C">
        <w:rPr>
          <w:rFonts w:ascii="Calibri" w:hAnsi="Calibri" w:cs="Arial"/>
        </w:rPr>
        <w:t>Oxford City Council will use 5% of the CIL revenue to fund the administration costs of the Levy.</w:t>
      </w:r>
    </w:p>
    <w:p w14:paraId="0B4020A7" w14:textId="77777777" w:rsidR="00655169" w:rsidRDefault="00655169" w:rsidP="00655169">
      <w:pPr>
        <w:rPr>
          <w:rFonts w:ascii="Calibri" w:hAnsi="Calibri" w:cs="Arial"/>
        </w:rPr>
      </w:pPr>
    </w:p>
    <w:p w14:paraId="42C34CBA" w14:textId="77777777" w:rsidR="00655169" w:rsidRPr="00861F56" w:rsidRDefault="00655169" w:rsidP="00655169">
      <w:pPr>
        <w:rPr>
          <w:rFonts w:ascii="Calibri" w:hAnsi="Calibri" w:cs="Arial"/>
          <w:b/>
          <w:color w:val="007373"/>
        </w:rPr>
      </w:pPr>
      <w:r w:rsidRPr="00861F56">
        <w:rPr>
          <w:rFonts w:ascii="Calibri" w:hAnsi="Calibri" w:cs="Arial"/>
          <w:b/>
          <w:color w:val="007373"/>
        </w:rPr>
        <w:t>CIL and S</w:t>
      </w:r>
      <w:r w:rsidR="006B3A6B" w:rsidRPr="00861F56">
        <w:rPr>
          <w:rFonts w:ascii="Calibri" w:hAnsi="Calibri" w:cs="Arial"/>
          <w:b/>
          <w:color w:val="007373"/>
        </w:rPr>
        <w:t>ection 106 agreements</w:t>
      </w:r>
    </w:p>
    <w:p w14:paraId="1899FA17" w14:textId="77777777" w:rsidR="00655169" w:rsidRDefault="00655169" w:rsidP="00A74976">
      <w:pPr>
        <w:numPr>
          <w:ilvl w:val="0"/>
          <w:numId w:val="8"/>
        </w:numPr>
        <w:rPr>
          <w:rFonts w:ascii="Calibri" w:hAnsi="Calibri" w:cs="Arial"/>
        </w:rPr>
      </w:pPr>
      <w:r w:rsidRPr="31522B7C">
        <w:rPr>
          <w:rFonts w:ascii="Calibri" w:hAnsi="Calibri" w:cs="Arial"/>
        </w:rPr>
        <w:t>Unlike S</w:t>
      </w:r>
      <w:r w:rsidR="00CE2840" w:rsidRPr="31522B7C">
        <w:rPr>
          <w:rFonts w:ascii="Calibri" w:hAnsi="Calibri" w:cs="Arial"/>
        </w:rPr>
        <w:t xml:space="preserve">ection </w:t>
      </w:r>
      <w:r w:rsidRPr="31522B7C">
        <w:rPr>
          <w:rFonts w:ascii="Calibri" w:hAnsi="Calibri" w:cs="Arial"/>
        </w:rPr>
        <w:t>106</w:t>
      </w:r>
      <w:r w:rsidR="00CE2840" w:rsidRPr="31522B7C">
        <w:rPr>
          <w:rFonts w:ascii="Calibri" w:hAnsi="Calibri" w:cs="Arial"/>
        </w:rPr>
        <w:t xml:space="preserve"> (S106)</w:t>
      </w:r>
      <w:r w:rsidRPr="31522B7C">
        <w:rPr>
          <w:rFonts w:ascii="Calibri" w:hAnsi="Calibri" w:cs="Arial"/>
        </w:rPr>
        <w:t xml:space="preserve">, the levy is to provide infrastructure to support the development of an area, not to make individual planning applications acceptable in planning terms. It breaks the link between a specific development site and the provision of infrastructure and thus provides greater flexibility for delivery of infrastructure when and where it is needed. </w:t>
      </w:r>
    </w:p>
    <w:p w14:paraId="1D7B270A" w14:textId="77777777" w:rsidR="00655169" w:rsidRDefault="00655169" w:rsidP="00655169">
      <w:pPr>
        <w:rPr>
          <w:rFonts w:ascii="Calibri" w:hAnsi="Calibri" w:cs="Arial"/>
        </w:rPr>
      </w:pPr>
    </w:p>
    <w:p w14:paraId="06C2560B" w14:textId="5F0C7698" w:rsidR="00655169" w:rsidRDefault="00655169" w:rsidP="00A74976">
      <w:pPr>
        <w:numPr>
          <w:ilvl w:val="0"/>
          <w:numId w:val="8"/>
        </w:numPr>
        <w:rPr>
          <w:rFonts w:ascii="Calibri" w:hAnsi="Calibri" w:cs="Arial"/>
        </w:rPr>
      </w:pPr>
      <w:r w:rsidRPr="31522B7C">
        <w:rPr>
          <w:rFonts w:ascii="Calibri" w:hAnsi="Calibri" w:cs="Arial"/>
        </w:rPr>
        <w:t>Section 106 agreements and Section 278 Highways Agreements will continue to be used to secure site-specific mitigation and affordable housing. In some instances, S106 agreements may be used in</w:t>
      </w:r>
      <w:r w:rsidR="004A2799" w:rsidRPr="31522B7C">
        <w:rPr>
          <w:rFonts w:ascii="Calibri" w:hAnsi="Calibri" w:cs="Arial"/>
        </w:rPr>
        <w:t xml:space="preserve"> strategic</w:t>
      </w:r>
      <w:r w:rsidRPr="31522B7C">
        <w:rPr>
          <w:rFonts w:ascii="Calibri" w:hAnsi="Calibri" w:cs="Arial"/>
        </w:rPr>
        <w:t xml:space="preserve"> development sites needing the provision of their own specific infrastructure for which delivery may be more suitably dealt with through S106s.</w:t>
      </w:r>
      <w:r w:rsidR="004A2799" w:rsidRPr="31522B7C">
        <w:rPr>
          <w:rFonts w:ascii="Calibri" w:hAnsi="Calibri" w:cs="Arial"/>
        </w:rPr>
        <w:t xml:space="preserve"> </w:t>
      </w:r>
    </w:p>
    <w:p w14:paraId="4F904CB7" w14:textId="77777777" w:rsidR="00655169" w:rsidRPr="008C7D14" w:rsidRDefault="00655169" w:rsidP="00655169">
      <w:pPr>
        <w:rPr>
          <w:rFonts w:ascii="Calibri" w:hAnsi="Calibri" w:cs="Arial"/>
          <w:color w:val="000000" w:themeColor="text1"/>
        </w:rPr>
      </w:pPr>
    </w:p>
    <w:p w14:paraId="1F698829" w14:textId="42849E31" w:rsidR="00655169" w:rsidRPr="00D6433A" w:rsidRDefault="002F36BD" w:rsidP="00381A40">
      <w:pPr>
        <w:numPr>
          <w:ilvl w:val="0"/>
          <w:numId w:val="8"/>
        </w:numPr>
        <w:rPr>
          <w:rFonts w:ascii="Calibri" w:hAnsi="Calibri" w:cs="Arial"/>
          <w:color w:val="000000" w:themeColor="text1"/>
        </w:rPr>
      </w:pPr>
      <w:r w:rsidRPr="31522B7C">
        <w:rPr>
          <w:rFonts w:ascii="Calibri" w:hAnsi="Calibri" w:cs="Arial"/>
          <w:color w:val="000000" w:themeColor="text1"/>
        </w:rPr>
        <w:t xml:space="preserve">Following removal of the regulation 123 list, </w:t>
      </w:r>
      <w:r w:rsidR="00D6433A" w:rsidRPr="31522B7C">
        <w:rPr>
          <w:rFonts w:ascii="Calibri" w:hAnsi="Calibri" w:cs="Arial"/>
          <w:color w:val="000000" w:themeColor="text1"/>
        </w:rPr>
        <w:t xml:space="preserve">the amended CIL regulations no longer contain a restriction on the pooling of </w:t>
      </w:r>
      <w:r w:rsidR="00884F54" w:rsidRPr="31522B7C">
        <w:rPr>
          <w:rFonts w:ascii="Calibri" w:hAnsi="Calibri" w:cs="Arial"/>
          <w:color w:val="000000" w:themeColor="text1"/>
        </w:rPr>
        <w:t xml:space="preserve">funds </w:t>
      </w:r>
      <w:r w:rsidR="00D6433A" w:rsidRPr="31522B7C">
        <w:rPr>
          <w:rFonts w:ascii="Calibri" w:hAnsi="Calibri" w:cs="Arial"/>
          <w:color w:val="000000" w:themeColor="text1"/>
        </w:rPr>
        <w:t>from more than five S106 obligations to fund a single infrastructure project and both CIL and S106 funding can be secured towards the same piece of infrastructure.</w:t>
      </w:r>
    </w:p>
    <w:p w14:paraId="6A527649" w14:textId="77777777" w:rsidR="00420DB6" w:rsidRPr="00DB3425" w:rsidRDefault="00634710" w:rsidP="00A26B1D">
      <w:pPr>
        <w:rPr>
          <w:rFonts w:ascii="Calibri" w:hAnsi="Calibri" w:cs="Arial"/>
          <w:b/>
          <w:color w:val="0070C0"/>
        </w:rPr>
      </w:pPr>
      <w:r>
        <w:rPr>
          <w:rFonts w:ascii="Calibri" w:hAnsi="Calibri" w:cs="Arial"/>
          <w:b/>
          <w:color w:val="0000FF"/>
        </w:rPr>
        <w:br w:type="page"/>
      </w:r>
      <w:r w:rsidR="00420DB6" w:rsidRPr="00861F56">
        <w:rPr>
          <w:rFonts w:ascii="Calibri" w:hAnsi="Calibri" w:cs="Arial"/>
          <w:b/>
          <w:color w:val="007373"/>
        </w:rPr>
        <w:t>Annex 1</w:t>
      </w:r>
      <w:r w:rsidR="00655169" w:rsidRPr="00861F56">
        <w:rPr>
          <w:rFonts w:ascii="Calibri" w:hAnsi="Calibri" w:cs="Arial"/>
          <w:b/>
          <w:color w:val="007373"/>
        </w:rPr>
        <w:t xml:space="preserve"> </w:t>
      </w:r>
      <w:r w:rsidR="00420DB6" w:rsidRPr="00861F56">
        <w:rPr>
          <w:rFonts w:ascii="Calibri" w:hAnsi="Calibri" w:cs="Arial"/>
          <w:b/>
          <w:color w:val="007373"/>
        </w:rPr>
        <w:t xml:space="preserve">- Guide to Use class Order definitions </w:t>
      </w:r>
    </w:p>
    <w:p w14:paraId="62ED8BE3" w14:textId="77777777" w:rsidR="00420DB6" w:rsidRDefault="00AE0936" w:rsidP="00A26B1D">
      <w:pPr>
        <w:rPr>
          <w:rFonts w:ascii="Calibri" w:hAnsi="Calibri"/>
          <w:color w:val="333333"/>
          <w:lang w:eastAsia="en-GB"/>
        </w:rPr>
      </w:pPr>
      <w:r w:rsidRPr="00AE0936">
        <w:rPr>
          <w:rFonts w:ascii="Calibri" w:hAnsi="Calibri"/>
          <w:color w:val="333333"/>
          <w:lang w:eastAsia="en-GB"/>
        </w:rPr>
        <w:t xml:space="preserve">The following list </w:t>
      </w:r>
      <w:r w:rsidR="00700E4D">
        <w:rPr>
          <w:rFonts w:ascii="Calibri" w:hAnsi="Calibri"/>
          <w:color w:val="333333"/>
          <w:lang w:eastAsia="en-GB"/>
        </w:rPr>
        <w:t xml:space="preserve">is based on the Government’s guide to Use Classes as shown in their planning and building regulations online resource ‘The Planning Portal’. It is not a </w:t>
      </w:r>
      <w:r w:rsidR="004F24C3">
        <w:rPr>
          <w:rFonts w:ascii="Calibri" w:hAnsi="Calibri"/>
          <w:color w:val="333333"/>
          <w:lang w:eastAsia="en-GB"/>
        </w:rPr>
        <w:t xml:space="preserve">definitive </w:t>
      </w:r>
      <w:r w:rsidR="00700E4D">
        <w:rPr>
          <w:rFonts w:ascii="Calibri" w:hAnsi="Calibri"/>
          <w:color w:val="333333"/>
          <w:lang w:eastAsia="en-GB"/>
        </w:rPr>
        <w:t xml:space="preserve">source of legal information. </w:t>
      </w:r>
    </w:p>
    <w:p w14:paraId="2A1F701D" w14:textId="77777777" w:rsidR="00A26B1D" w:rsidRPr="00700E4D" w:rsidRDefault="00A26B1D" w:rsidP="00A26B1D">
      <w:pPr>
        <w:rPr>
          <w:rFonts w:ascii="Calibri" w:hAnsi="Calibri"/>
          <w:color w:val="333333"/>
          <w:lang w:eastAsia="en-GB"/>
        </w:rPr>
      </w:pPr>
    </w:p>
    <w:tbl>
      <w:tblPr>
        <w:tblW w:w="92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288"/>
      </w:tblGrid>
      <w:tr w:rsidR="00AE0936" w:rsidRPr="00667A91" w14:paraId="5F60AE2C" w14:textId="77777777" w:rsidTr="00C724BE">
        <w:trPr>
          <w:trHeight w:val="3564"/>
        </w:trPr>
        <w:tc>
          <w:tcPr>
            <w:tcW w:w="9288" w:type="dxa"/>
          </w:tcPr>
          <w:p w14:paraId="26171651" w14:textId="77777777" w:rsidR="00202EAC" w:rsidRPr="00936803" w:rsidRDefault="00202EAC" w:rsidP="00202EAC">
            <w:pPr>
              <w:rPr>
                <w:rFonts w:ascii="Calibri" w:hAnsi="Calibri"/>
                <w:b/>
                <w:color w:val="008080"/>
                <w:lang w:eastAsia="en-GB"/>
              </w:rPr>
            </w:pPr>
            <w:r w:rsidRPr="00936803">
              <w:rPr>
                <w:rFonts w:ascii="Calibri" w:hAnsi="Calibri"/>
                <w:b/>
                <w:color w:val="008080"/>
                <w:lang w:eastAsia="en-GB"/>
              </w:rPr>
              <w:t>Class B</w:t>
            </w:r>
          </w:p>
          <w:p w14:paraId="395F527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B2 General industrial - Use for industrial process other than one falling within class E(g) (previously class B1) (excluding incineration purposes, chemical treatment or landfill or hazardous waste)</w:t>
            </w:r>
          </w:p>
          <w:p w14:paraId="38135BE4" w14:textId="77777777" w:rsid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B8 Storage or distribution - This class includes open air storage.</w:t>
            </w:r>
          </w:p>
          <w:p w14:paraId="03EFCA41" w14:textId="77777777" w:rsidR="00202EAC" w:rsidRDefault="00202EAC" w:rsidP="00202EAC">
            <w:pPr>
              <w:rPr>
                <w:rFonts w:ascii="Calibri" w:hAnsi="Calibri"/>
                <w:color w:val="333333"/>
                <w:lang w:eastAsia="en-GB"/>
              </w:rPr>
            </w:pPr>
          </w:p>
          <w:p w14:paraId="04AE7F91" w14:textId="77777777" w:rsidR="00202EAC" w:rsidRPr="00936803" w:rsidRDefault="00202EAC" w:rsidP="00202EAC">
            <w:pPr>
              <w:rPr>
                <w:rFonts w:ascii="Calibri" w:hAnsi="Calibri"/>
                <w:b/>
                <w:color w:val="008080"/>
                <w:lang w:eastAsia="en-GB"/>
              </w:rPr>
            </w:pPr>
            <w:r w:rsidRPr="00936803">
              <w:rPr>
                <w:rFonts w:ascii="Calibri" w:hAnsi="Calibri"/>
                <w:b/>
                <w:color w:val="008080"/>
                <w:lang w:eastAsia="en-GB"/>
              </w:rPr>
              <w:t>Class C</w:t>
            </w:r>
          </w:p>
          <w:p w14:paraId="754F0D1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C1 Hotels - Hotels, boarding and guest houses where no significant element of care is provided (excludes hostels)</w:t>
            </w:r>
          </w:p>
          <w:p w14:paraId="0C9CC5C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C2 Residential institutions - Residential care homes, hospitals, nursing homes, boarding schools, residential colleges and training centres</w:t>
            </w:r>
          </w:p>
          <w:p w14:paraId="76F55AC3"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C2A Secure Residential Institution - Use for a provision of secure residential accommodation, including use as a prison, young offenders institution, detention centre, secure training centre, custody centre, short term holding centre, secure hospital, secure local authority accommodation or use as a military barracks</w:t>
            </w:r>
          </w:p>
          <w:p w14:paraId="2460A7AC"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C3 Dwellinghouses - This class is formed of three parts</w:t>
            </w:r>
          </w:p>
          <w:p w14:paraId="69C3E258"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C3(a) covers use by a single person or a family (a couple whether married or not, a person related to one another with members of the family of one of the couple to be treated as members of the family of the other), an employer and certain domestic employees (such as an au pair, nanny, nurse, governess, servant, chauffeur, gardener, secretary and personal assistant), a carer and the person receiving the care and a foster parent and foster child</w:t>
            </w:r>
          </w:p>
          <w:p w14:paraId="1FAAB109"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C3(b) covers up to six people living together as a single household and receiving care e.g. supported housing schemes such as those for people with learning disabilities or mental health problems</w:t>
            </w:r>
          </w:p>
          <w:p w14:paraId="256921A4"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C3(c) allows for groups of people (up to six) living together as a single household. This allows for those groupings that do not fall within the C4 HMO definition, but which fell within the previous C3 use class, to be provided for i.e. a small religious community may fall into this section as could a homeowner who is living with a lodger</w:t>
            </w:r>
          </w:p>
          <w:p w14:paraId="603FAA3F" w14:textId="77777777" w:rsid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C4 Houses in multiple occupation - Small shared houses occupied by between three and six unrelated individuals, as their only or main residence, who share basic amenities such as a kitchen or bathroom.</w:t>
            </w:r>
          </w:p>
          <w:p w14:paraId="5F96A722" w14:textId="77777777" w:rsidR="00202EAC" w:rsidRDefault="00202EAC" w:rsidP="00202EAC">
            <w:pPr>
              <w:rPr>
                <w:rFonts w:ascii="Calibri" w:hAnsi="Calibri"/>
                <w:b/>
                <w:color w:val="333333"/>
                <w:lang w:eastAsia="en-GB"/>
              </w:rPr>
            </w:pPr>
          </w:p>
          <w:p w14:paraId="0A6F09FC" w14:textId="77777777" w:rsidR="00202EAC" w:rsidRPr="00936803" w:rsidRDefault="00202EAC" w:rsidP="00202EAC">
            <w:pPr>
              <w:rPr>
                <w:rFonts w:ascii="Calibri" w:hAnsi="Calibri"/>
                <w:b/>
                <w:color w:val="008080"/>
                <w:lang w:eastAsia="en-GB"/>
              </w:rPr>
            </w:pPr>
            <w:r w:rsidRPr="00936803">
              <w:rPr>
                <w:rFonts w:ascii="Calibri" w:hAnsi="Calibri"/>
                <w:b/>
                <w:color w:val="008080"/>
                <w:lang w:eastAsia="en-GB"/>
              </w:rPr>
              <w:t>Class E – Commercial, Business and Service</w:t>
            </w:r>
          </w:p>
          <w:p w14:paraId="196BEEA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In 11 parts, Class E more broadly covers uses previously defined in the revoked Classes A1/2/3, B1, D1(a-b) and ‘indoor sport’ from D2(e):</w:t>
            </w:r>
          </w:p>
          <w:p w14:paraId="3C0E171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E(a) Display or retail sale of goods, other than hot food</w:t>
            </w:r>
          </w:p>
          <w:p w14:paraId="3D7ABB6C"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E(b) Sale of food and drink for consumption (mostly) on the premises</w:t>
            </w:r>
          </w:p>
          <w:p w14:paraId="3112AAE1"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E(c) Provision of:</w:t>
            </w:r>
          </w:p>
          <w:p w14:paraId="38277645"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E(c)(i) Financial services,</w:t>
            </w:r>
          </w:p>
          <w:p w14:paraId="18EFDAE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E(c)(ii) Professional services (other than health or medical services), or</w:t>
            </w:r>
          </w:p>
          <w:p w14:paraId="2DB68B98"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E(c)(iii) Other appropriate services in a commercial, business or service locality</w:t>
            </w:r>
          </w:p>
          <w:p w14:paraId="7CDCDC7F"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E(d) Indoor sport, recreation or fitness (not involving motorised vehicles or firearms or use as a swimming pool or skating rink,)</w:t>
            </w:r>
          </w:p>
          <w:p w14:paraId="75725F4D"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E(e) Provision of medical or health services (except the use of premises attached to the residence of the consultant or practitioner)</w:t>
            </w:r>
          </w:p>
          <w:p w14:paraId="2352E89E"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E(f) Creche, day nursery or day centre (not including a residential use)</w:t>
            </w:r>
          </w:p>
          <w:p w14:paraId="6B7CF7CC"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E(g) Uses which can be carried out in a residential area without detriment to its amenity:</w:t>
            </w:r>
          </w:p>
          <w:p w14:paraId="6E9374F9"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E(g)(i) Offices to carry out any operational or administrative functions,</w:t>
            </w:r>
          </w:p>
          <w:p w14:paraId="75A67B54"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E(g)(ii) Research and development of products or processes</w:t>
            </w:r>
          </w:p>
          <w:p w14:paraId="4B8DF91B" w14:textId="77777777" w:rsid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E(g)(iii) Industrial processes</w:t>
            </w:r>
          </w:p>
          <w:p w14:paraId="5B95CD12" w14:textId="77777777" w:rsidR="00202EAC" w:rsidRDefault="00202EAC" w:rsidP="00202EAC">
            <w:pPr>
              <w:rPr>
                <w:rFonts w:ascii="Calibri" w:hAnsi="Calibri"/>
                <w:color w:val="333333"/>
                <w:lang w:eastAsia="en-GB"/>
              </w:rPr>
            </w:pPr>
          </w:p>
          <w:p w14:paraId="34CC0B87" w14:textId="77777777" w:rsidR="00202EAC" w:rsidRPr="00936803" w:rsidRDefault="00202EAC" w:rsidP="00202EAC">
            <w:pPr>
              <w:rPr>
                <w:rFonts w:ascii="Calibri" w:hAnsi="Calibri"/>
                <w:b/>
                <w:color w:val="008080"/>
                <w:lang w:eastAsia="en-GB"/>
              </w:rPr>
            </w:pPr>
            <w:r w:rsidRPr="00936803">
              <w:rPr>
                <w:rFonts w:ascii="Calibri" w:hAnsi="Calibri"/>
                <w:b/>
                <w:color w:val="008080"/>
                <w:lang w:eastAsia="en-GB"/>
              </w:rPr>
              <w:t>Class F – Local Community and Learning</w:t>
            </w:r>
          </w:p>
          <w:p w14:paraId="2D3EDCD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In two main parts, Class F covers uses previously defined in the revoked classes D1, ‘outdoor sport’, ‘swimming pools’ and ‘skating rinks’ from D2(e), as well as newly defined local community uses.</w:t>
            </w:r>
          </w:p>
          <w:p w14:paraId="7E5FB86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 Learning and non-residential institutions – Use (not including residential use) defined in 7 parts:</w:t>
            </w:r>
          </w:p>
          <w:p w14:paraId="0D79721F"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F1(a) Provision of education</w:t>
            </w:r>
          </w:p>
          <w:p w14:paraId="517A6478"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F1(b) Display of works of art (otherwise than for sale or hire)</w:t>
            </w:r>
          </w:p>
          <w:p w14:paraId="69892FD4"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F1(c) Museums</w:t>
            </w:r>
          </w:p>
          <w:p w14:paraId="48383C4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F1(d) Public libraries or public reading rooms</w:t>
            </w:r>
          </w:p>
          <w:p w14:paraId="79729F2A"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F1(e) Public halls or exhibition halls</w:t>
            </w:r>
          </w:p>
          <w:p w14:paraId="269BEF5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F1(f) Public worship or religious instruction (or in connection with such use)</w:t>
            </w:r>
          </w:p>
          <w:p w14:paraId="48CF31D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F1(g) Law courts</w:t>
            </w:r>
          </w:p>
          <w:p w14:paraId="1888824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F2 Local community – Use as defined in 4 parts:</w:t>
            </w:r>
          </w:p>
          <w:p w14:paraId="5CBED12D"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F2(a) Shops (mostly) selling essential goods, including food, where the shop’s premises do not exceed 280 square metres and there is no other such facility within 1000 metres</w:t>
            </w:r>
          </w:p>
          <w:p w14:paraId="311265C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F2(b) Halls or meeting places for the principal use of the local community</w:t>
            </w:r>
          </w:p>
          <w:p w14:paraId="20141EB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F2(c) Areas or places for outdoor sport or recreation (not involving motorised vehicles or firearms)</w:t>
            </w:r>
          </w:p>
          <w:p w14:paraId="6F121F2E" w14:textId="77777777" w:rsid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F2(d) Indoor or outdoor swimming pools or skating rinks</w:t>
            </w:r>
          </w:p>
          <w:p w14:paraId="5220BBB2" w14:textId="77777777" w:rsidR="00202EAC" w:rsidRDefault="00202EAC" w:rsidP="00202EAC">
            <w:pPr>
              <w:rPr>
                <w:rFonts w:ascii="Calibri" w:hAnsi="Calibri"/>
                <w:color w:val="333333"/>
                <w:lang w:eastAsia="en-GB"/>
              </w:rPr>
            </w:pPr>
          </w:p>
          <w:p w14:paraId="794E3CDA" w14:textId="77777777" w:rsidR="00202EAC" w:rsidRPr="00936803" w:rsidRDefault="00202EAC" w:rsidP="00202EAC">
            <w:pPr>
              <w:rPr>
                <w:rFonts w:ascii="Calibri" w:hAnsi="Calibri"/>
                <w:b/>
                <w:color w:val="008080"/>
                <w:lang w:eastAsia="en-GB"/>
              </w:rPr>
            </w:pPr>
            <w:r w:rsidRPr="00936803">
              <w:rPr>
                <w:rFonts w:ascii="Calibri" w:hAnsi="Calibri"/>
                <w:b/>
                <w:color w:val="008080"/>
                <w:lang w:eastAsia="en-GB"/>
              </w:rPr>
              <w:t>Sui Generis</w:t>
            </w:r>
          </w:p>
          <w:p w14:paraId="13A3F69D"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'Sui generis' is a Latin term that, in this context, means ‘in a class of its own’.</w:t>
            </w:r>
          </w:p>
          <w:p w14:paraId="1499BD2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Certain uses are specifically defined and excluded from classification by legislation, and therefore become ‘sui generis’. These are:</w:t>
            </w:r>
          </w:p>
          <w:p w14:paraId="7EE70E75"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theatres</w:t>
            </w:r>
          </w:p>
          <w:p w14:paraId="7329E890"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amusement arcades/centres or funfairs</w:t>
            </w:r>
          </w:p>
          <w:p w14:paraId="6987339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launderettes</w:t>
            </w:r>
          </w:p>
          <w:p w14:paraId="5FE26AC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fuel stations</w:t>
            </w:r>
          </w:p>
          <w:p w14:paraId="31CDA49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hiring, selling and/or displaying motor vehicles</w:t>
            </w:r>
          </w:p>
          <w:p w14:paraId="523446F4"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taxi businesses</w:t>
            </w:r>
          </w:p>
          <w:p w14:paraId="5F73C30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scrap yards, or a yard for the storage/distribution of minerals and/or the breaking of motor vehicles</w:t>
            </w:r>
          </w:p>
          <w:p w14:paraId="5F63D5C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‘Alkali work’ (any work registerable under the Alkali, etc. Works Regulation Act 1906 (as amended))</w:t>
            </w:r>
          </w:p>
          <w:p w14:paraId="6A9516B5"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hostels (providing no significant element of care)</w:t>
            </w:r>
          </w:p>
          <w:p w14:paraId="0A7BCCF6"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waste disposal installations for the incineration, chemical treatment or landfill of hazardous waste</w:t>
            </w:r>
          </w:p>
          <w:p w14:paraId="0D7799A5"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retail warehouse clubs</w:t>
            </w:r>
          </w:p>
          <w:p w14:paraId="552E8D98"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nightclubs</w:t>
            </w:r>
          </w:p>
          <w:p w14:paraId="5F2387FE"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casinos</w:t>
            </w:r>
          </w:p>
          <w:p w14:paraId="2D8753FF"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betting offices/shops</w:t>
            </w:r>
          </w:p>
          <w:p w14:paraId="5EE9103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pay day loan shops</w:t>
            </w:r>
          </w:p>
          <w:p w14:paraId="4C0EE251"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public houses, wine bars, or drinking establishments – from 1 September 2020, previously Class A4</w:t>
            </w:r>
          </w:p>
          <w:p w14:paraId="6FB29411"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drinking establishments with expanded food provision – from 1 September 2020, previously Class A4</w:t>
            </w:r>
          </w:p>
          <w:p w14:paraId="0635F88B"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hot food takeaways (for the sale of hot food where consumption of that food is mostly undertaken off the premises) – from 1 September 2020, previously Class A5</w:t>
            </w:r>
          </w:p>
          <w:p w14:paraId="63C2DE2A"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venues for live music performance – newly defined as ‘Sui Generis’ use from 1 September 2020</w:t>
            </w:r>
          </w:p>
          <w:p w14:paraId="1B7F7B81"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cinemas – from 1 September 2020, previously Class D2(a)</w:t>
            </w:r>
          </w:p>
          <w:p w14:paraId="0F9CC0BC"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concert halls – from 1 September 2020, previously Class D2(b)</w:t>
            </w:r>
          </w:p>
          <w:p w14:paraId="166B4EC2"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bingo halls – from 1 September 2020, previously Class D2(c)</w:t>
            </w:r>
          </w:p>
          <w:p w14:paraId="54404BA7"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dance halls – from 1 September 2020, previously Class D2(d)</w:t>
            </w:r>
          </w:p>
          <w:p w14:paraId="1BA63638" w14:textId="77777777" w:rsidR="00202EAC" w:rsidRPr="00202EAC" w:rsidRDefault="00202EAC" w:rsidP="00202EAC">
            <w:pPr>
              <w:numPr>
                <w:ilvl w:val="0"/>
                <w:numId w:val="10"/>
              </w:numPr>
              <w:rPr>
                <w:rFonts w:ascii="Calibri" w:hAnsi="Calibri"/>
                <w:color w:val="333333"/>
                <w:lang w:eastAsia="en-GB"/>
              </w:rPr>
            </w:pPr>
            <w:r w:rsidRPr="00202EAC">
              <w:rPr>
                <w:rFonts w:ascii="Calibri" w:hAnsi="Calibri"/>
                <w:color w:val="333333"/>
                <w:lang w:eastAsia="en-GB"/>
              </w:rPr>
              <w:t>Other uses become ‘sui generis’ where they fall outside the defined limits of any other use class.</w:t>
            </w:r>
          </w:p>
          <w:p w14:paraId="56026540" w14:textId="77777777" w:rsidR="00AE0936" w:rsidRPr="00202EAC" w:rsidRDefault="00202EAC" w:rsidP="00381A40">
            <w:pPr>
              <w:numPr>
                <w:ilvl w:val="0"/>
                <w:numId w:val="10"/>
              </w:numPr>
              <w:rPr>
                <w:rFonts w:ascii="Calibri" w:hAnsi="Calibri"/>
                <w:color w:val="333333"/>
                <w:lang w:eastAsia="en-GB"/>
              </w:rPr>
            </w:pPr>
            <w:r w:rsidRPr="00202EAC">
              <w:rPr>
                <w:rFonts w:ascii="Calibri" w:hAnsi="Calibri"/>
                <w:color w:val="333333"/>
                <w:lang w:eastAsia="en-GB"/>
              </w:rPr>
              <w:t>For example, C4 (Houses in multiple occupation) is limited to houses with no more than six residents. Therefore, houses in multiple occupation with more than six residents become a ‘sui generis’ use.</w:t>
            </w:r>
          </w:p>
          <w:p w14:paraId="13CB595B" w14:textId="77777777" w:rsidR="00202EAC" w:rsidRPr="00667A91" w:rsidRDefault="00202EAC" w:rsidP="00202EAC">
            <w:pPr>
              <w:rPr>
                <w:rFonts w:ascii="Verdana" w:hAnsi="Verdana"/>
                <w:color w:val="333333"/>
                <w:sz w:val="18"/>
                <w:szCs w:val="18"/>
                <w:lang w:eastAsia="en-GB"/>
              </w:rPr>
            </w:pPr>
          </w:p>
        </w:tc>
      </w:tr>
    </w:tbl>
    <w:p w14:paraId="6E0A37F5" w14:textId="77777777" w:rsidR="00AE0936" w:rsidRPr="007433D5" w:rsidRDefault="007433D5" w:rsidP="00420DB6">
      <w:pPr>
        <w:rPr>
          <w:rFonts w:ascii="Calibri" w:hAnsi="Calibri" w:cs="Arial"/>
        </w:rPr>
        <w:sectPr w:rsidR="00AE0936" w:rsidRPr="007433D5" w:rsidSect="00B811EE">
          <w:headerReference w:type="default" r:id="rId18"/>
          <w:footerReference w:type="default" r:id="rId19"/>
          <w:headerReference w:type="first" r:id="rId20"/>
          <w:pgSz w:w="11906" w:h="16838" w:code="9"/>
          <w:pgMar w:top="1276" w:right="1418" w:bottom="1560" w:left="1416" w:header="709" w:footer="17" w:gutter="0"/>
          <w:cols w:space="708"/>
          <w:docGrid w:linePitch="360"/>
        </w:sectPr>
      </w:pPr>
      <w:r w:rsidRPr="007433D5">
        <w:rPr>
          <w:rFonts w:ascii="Calibri" w:hAnsi="Calibri" w:cs="Arial"/>
          <w:b/>
        </w:rPr>
        <w:t>Source:</w:t>
      </w:r>
      <w:r w:rsidRPr="007433D5">
        <w:rPr>
          <w:rFonts w:ascii="Calibri" w:hAnsi="Calibri" w:cs="Arial"/>
        </w:rPr>
        <w:t xml:space="preserve"> Planning Portal </w:t>
      </w:r>
      <w:hyperlink r:id="rId21" w:history="1">
        <w:r w:rsidR="00B143EE" w:rsidRPr="00861F56">
          <w:rPr>
            <w:rStyle w:val="Hyperlink"/>
            <w:rFonts w:ascii="Calibri" w:hAnsi="Calibri" w:cs="Arial"/>
            <w:color w:val="007373"/>
          </w:rPr>
          <w:t>http://www.planningportal.gov.uk</w:t>
        </w:r>
      </w:hyperlink>
      <w:r w:rsidR="00B143EE" w:rsidRPr="00861F56">
        <w:rPr>
          <w:rFonts w:ascii="Calibri" w:hAnsi="Calibri" w:cs="Arial"/>
          <w:color w:val="007373"/>
        </w:rPr>
        <w:t xml:space="preserve"> </w:t>
      </w:r>
    </w:p>
    <w:p w14:paraId="6D9C8D39" w14:textId="0A2F78D1" w:rsidR="00C7785F" w:rsidRPr="0095407D" w:rsidRDefault="00655169" w:rsidP="4A4F46FD">
      <w:pPr>
        <w:rPr>
          <w:rFonts w:asciiTheme="minorHAnsi" w:eastAsiaTheme="minorEastAsia" w:hAnsiTheme="minorHAnsi" w:cstheme="minorBidi"/>
          <w:color w:val="007373"/>
        </w:rPr>
      </w:pPr>
      <w:r w:rsidRPr="4A4F46FD">
        <w:rPr>
          <w:rFonts w:asciiTheme="minorHAnsi" w:eastAsiaTheme="minorEastAsia" w:hAnsiTheme="minorHAnsi" w:cstheme="minorBidi"/>
          <w:b/>
          <w:bCs/>
          <w:color w:val="007373"/>
        </w:rPr>
        <w:t xml:space="preserve">Annex 2 </w:t>
      </w:r>
      <w:r w:rsidR="00C7785F" w:rsidRPr="4A4F46FD">
        <w:rPr>
          <w:rFonts w:asciiTheme="minorHAnsi" w:eastAsiaTheme="minorEastAsia" w:hAnsiTheme="minorHAnsi" w:cstheme="minorBidi"/>
          <w:b/>
          <w:bCs/>
          <w:color w:val="007373"/>
        </w:rPr>
        <w:t xml:space="preserve">– </w:t>
      </w:r>
      <w:r w:rsidR="50CFE318" w:rsidRPr="4A4F46FD">
        <w:rPr>
          <w:rFonts w:asciiTheme="minorHAnsi" w:eastAsiaTheme="minorEastAsia" w:hAnsiTheme="minorHAnsi" w:cstheme="minorBidi"/>
          <w:b/>
          <w:bCs/>
          <w:color w:val="007373"/>
        </w:rPr>
        <w:t>Schedule 1</w:t>
      </w:r>
      <w:r w:rsidR="00C7785F" w:rsidRPr="4A4F46FD">
        <w:rPr>
          <w:rFonts w:asciiTheme="minorHAnsi" w:eastAsiaTheme="minorEastAsia" w:hAnsiTheme="minorHAnsi" w:cstheme="minorBidi"/>
          <w:b/>
          <w:bCs/>
          <w:color w:val="007373"/>
        </w:rPr>
        <w:t xml:space="preserve"> of the Community Infrastructure Levy </w:t>
      </w:r>
      <w:r w:rsidR="00C27960" w:rsidRPr="4A4F46FD">
        <w:rPr>
          <w:rFonts w:asciiTheme="minorHAnsi" w:eastAsiaTheme="minorEastAsia" w:hAnsiTheme="minorHAnsi" w:cstheme="minorBidi"/>
          <w:b/>
          <w:bCs/>
          <w:color w:val="007373"/>
        </w:rPr>
        <w:t xml:space="preserve">Regulations </w:t>
      </w:r>
      <w:r w:rsidR="00C7785F" w:rsidRPr="4A4F46FD">
        <w:rPr>
          <w:rFonts w:asciiTheme="minorHAnsi" w:eastAsiaTheme="minorEastAsia" w:hAnsiTheme="minorHAnsi" w:cstheme="minorBidi"/>
          <w:b/>
          <w:bCs/>
          <w:color w:val="007373"/>
        </w:rPr>
        <w:t>(</w:t>
      </w:r>
      <w:r w:rsidR="00C27960" w:rsidRPr="4A4F46FD">
        <w:rPr>
          <w:rFonts w:asciiTheme="minorHAnsi" w:eastAsiaTheme="minorEastAsia" w:hAnsiTheme="minorHAnsi" w:cstheme="minorBidi"/>
          <w:b/>
          <w:bCs/>
          <w:color w:val="007373"/>
        </w:rPr>
        <w:t>As amended</w:t>
      </w:r>
      <w:r w:rsidR="00C7785F" w:rsidRPr="4A4F46FD">
        <w:rPr>
          <w:rFonts w:asciiTheme="minorHAnsi" w:eastAsiaTheme="minorEastAsia" w:hAnsiTheme="minorHAnsi" w:cstheme="minorBidi"/>
          <w:b/>
          <w:bCs/>
          <w:color w:val="007373"/>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88"/>
      </w:tblGrid>
      <w:tr w:rsidR="00C7785F" w:rsidRPr="001B2DA0" w14:paraId="1978A876" w14:textId="77777777" w:rsidTr="4A4F46FD">
        <w:tc>
          <w:tcPr>
            <w:tcW w:w="9288" w:type="dxa"/>
            <w:shd w:val="clear" w:color="auto" w:fill="auto"/>
          </w:tcPr>
          <w:p w14:paraId="675E05EE" w14:textId="4A423381" w:rsidR="00C7785F" w:rsidRPr="00936803" w:rsidRDefault="00C7785F" w:rsidP="4A4F46FD">
            <w:pPr>
              <w:autoSpaceDE w:val="0"/>
              <w:autoSpaceDN w:val="0"/>
              <w:adjustRightInd w:val="0"/>
              <w:jc w:val="center"/>
              <w:rPr>
                <w:rFonts w:asciiTheme="minorHAnsi" w:eastAsiaTheme="minorEastAsia" w:hAnsiTheme="minorHAnsi" w:cstheme="minorBidi"/>
                <w:b/>
                <w:bCs/>
                <w:color w:val="008080"/>
              </w:rPr>
            </w:pPr>
            <w:r w:rsidRPr="4A4F46FD">
              <w:rPr>
                <w:rFonts w:asciiTheme="minorHAnsi" w:eastAsiaTheme="minorEastAsia" w:hAnsiTheme="minorHAnsi" w:cstheme="minorBidi"/>
                <w:b/>
                <w:bCs/>
                <w:color w:val="008080"/>
              </w:rPr>
              <w:t>CHARGEABLE AMOUNT</w:t>
            </w:r>
            <w:r w:rsidR="38662D88" w:rsidRPr="4A4F46FD">
              <w:rPr>
                <w:rFonts w:asciiTheme="minorHAnsi" w:eastAsiaTheme="minorEastAsia" w:hAnsiTheme="minorHAnsi" w:cstheme="minorBidi"/>
                <w:b/>
                <w:bCs/>
                <w:color w:val="008080"/>
              </w:rPr>
              <w:t xml:space="preserve"> – Part 1</w:t>
            </w:r>
            <w:r w:rsidR="734CAECF" w:rsidRPr="4A4F46FD">
              <w:rPr>
                <w:rFonts w:asciiTheme="minorHAnsi" w:eastAsiaTheme="minorEastAsia" w:hAnsiTheme="minorHAnsi" w:cstheme="minorBidi"/>
                <w:b/>
                <w:bCs/>
                <w:color w:val="008080"/>
              </w:rPr>
              <w:t xml:space="preserve"> – Standard Cases</w:t>
            </w:r>
          </w:p>
          <w:p w14:paraId="06DD1A1F" w14:textId="225CA96F" w:rsidR="00C7785F" w:rsidRPr="00936803" w:rsidRDefault="00C7785F" w:rsidP="4A4F46FD">
            <w:pPr>
              <w:autoSpaceDE w:val="0"/>
              <w:autoSpaceDN w:val="0"/>
              <w:adjustRightInd w:val="0"/>
              <w:rPr>
                <w:rFonts w:asciiTheme="minorHAnsi" w:eastAsiaTheme="minorEastAsia" w:hAnsiTheme="minorHAnsi" w:cstheme="minorBidi"/>
                <w:b/>
                <w:bCs/>
                <w:color w:val="008080"/>
              </w:rPr>
            </w:pPr>
            <w:r w:rsidRPr="4A4F46FD">
              <w:rPr>
                <w:rFonts w:asciiTheme="minorHAnsi" w:eastAsiaTheme="minorEastAsia" w:hAnsiTheme="minorHAnsi" w:cstheme="minorBidi"/>
                <w:b/>
                <w:bCs/>
                <w:color w:val="008080"/>
              </w:rPr>
              <w:t>Calculation of chargeable amount</w:t>
            </w:r>
          </w:p>
          <w:p w14:paraId="5D9B803F" w14:textId="4D2F922B"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(1) The collecting authority must calculate the amount of CIL payable (“chargeable</w:t>
            </w:r>
          </w:p>
          <w:p w14:paraId="3045058E"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amount”) in respect of a chargeable development in accordance with this regulation.</w:t>
            </w:r>
          </w:p>
          <w:p w14:paraId="43B6DACD"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(2) The chargeable amount is an amount equal to the aggregate of the amounts of CIL</w:t>
            </w:r>
          </w:p>
          <w:p w14:paraId="3689FB4D"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chargeable at each of the relevant rates.</w:t>
            </w:r>
          </w:p>
          <w:p w14:paraId="33E20FC1"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(3) But where that amount is less than £50 the chargeable amount is deemed to be zero.</w:t>
            </w:r>
          </w:p>
          <w:p w14:paraId="6E5DA277"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(4) The relevant rates are the rates, taken from the relevant charging schedules, at which CIL is chargeable in respect of the chargeable development.  </w:t>
            </w:r>
          </w:p>
          <w:p w14:paraId="430CA197"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(5) The amount of CIL chargeable at a given relevant rate (R) must be calculated by applying the following formula—</w:t>
            </w:r>
          </w:p>
          <w:p w14:paraId="2FC17F8B" w14:textId="77777777" w:rsidR="00C7785F" w:rsidRPr="001B2DA0" w:rsidRDefault="467C6B73" w:rsidP="4A4F46FD">
            <w:pPr>
              <w:autoSpaceDE w:val="0"/>
              <w:autoSpaceDN w:val="0"/>
              <w:adjustRightInd w:val="0"/>
              <w:jc w:val="center"/>
              <w:rPr>
                <w:rFonts w:asciiTheme="minorHAnsi" w:eastAsiaTheme="minorEastAsia" w:hAnsiTheme="minorHAnsi" w:cstheme="minorBidi"/>
                <w:i/>
                <w:iCs/>
              </w:rPr>
            </w:pPr>
            <w:r>
              <w:rPr>
                <w:noProof/>
                <w:lang w:eastAsia="en-GB"/>
              </w:rPr>
              <w:drawing>
                <wp:inline distT="0" distB="0" distL="0" distR="0" wp14:anchorId="54143670" wp14:editId="6344DF52">
                  <wp:extent cx="624205" cy="390525"/>
                  <wp:effectExtent l="0" t="0" r="4445" b="9525"/>
                  <wp:docPr id="2" name="Picture 2" descr="Chargeable amou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624205" cy="390525"/>
                          </a:xfrm>
                          <a:prstGeom prst="rect">
                            <a:avLst/>
                          </a:prstGeom>
                        </pic:spPr>
                      </pic:pic>
                    </a:graphicData>
                  </a:graphic>
                </wp:inline>
              </w:drawing>
            </w:r>
          </w:p>
          <w:p w14:paraId="0DB14217"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where—</w:t>
            </w:r>
          </w:p>
          <w:p w14:paraId="3F060F56"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A</w:t>
            </w:r>
            <w:r w:rsidRPr="4A4F46FD">
              <w:rPr>
                <w:rFonts w:asciiTheme="minorHAnsi" w:eastAsiaTheme="minorEastAsia" w:hAnsiTheme="minorHAnsi" w:cstheme="minorBidi"/>
              </w:rPr>
              <w:t xml:space="preserve"> = the deemed net area chargeable at rate R, calculated in accordance with paragraph (7);</w:t>
            </w:r>
          </w:p>
          <w:p w14:paraId="390D6880"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I</w:t>
            </w:r>
            <w:r w:rsidRPr="4A4F46FD">
              <w:rPr>
                <w:rFonts w:asciiTheme="minorHAnsi" w:eastAsiaTheme="minorEastAsia" w:hAnsiTheme="minorHAnsi" w:cstheme="minorBidi"/>
                <w:i/>
                <w:iCs/>
                <w:vertAlign w:val="subscript"/>
              </w:rPr>
              <w:t>P</w:t>
            </w:r>
            <w:r w:rsidRPr="4A4F46FD">
              <w:rPr>
                <w:rFonts w:asciiTheme="minorHAnsi" w:eastAsiaTheme="minorEastAsia" w:hAnsiTheme="minorHAnsi" w:cstheme="minorBidi"/>
              </w:rPr>
              <w:t xml:space="preserve"> = the index figure for the year in which planning permission was granted; and</w:t>
            </w:r>
          </w:p>
          <w:p w14:paraId="4BC86C20"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I</w:t>
            </w:r>
            <w:r w:rsidRPr="4A4F46FD">
              <w:rPr>
                <w:rFonts w:asciiTheme="minorHAnsi" w:eastAsiaTheme="minorEastAsia" w:hAnsiTheme="minorHAnsi" w:cstheme="minorBidi"/>
                <w:i/>
                <w:iCs/>
                <w:vertAlign w:val="subscript"/>
              </w:rPr>
              <w:t>C</w:t>
            </w:r>
            <w:r w:rsidRPr="4A4F46FD">
              <w:rPr>
                <w:rFonts w:asciiTheme="minorHAnsi" w:eastAsiaTheme="minorEastAsia" w:hAnsiTheme="minorHAnsi" w:cstheme="minorBidi"/>
                <w:vertAlign w:val="subscript"/>
              </w:rPr>
              <w:t xml:space="preserve"> </w:t>
            </w:r>
            <w:r w:rsidRPr="4A4F46FD">
              <w:rPr>
                <w:rFonts w:asciiTheme="minorHAnsi" w:eastAsiaTheme="minorEastAsia" w:hAnsiTheme="minorHAnsi" w:cstheme="minorBidi"/>
              </w:rPr>
              <w:t>= the index figure for the year in which the charging schedule containing rate R took effect.</w:t>
            </w:r>
          </w:p>
          <w:p w14:paraId="08538C4C" w14:textId="77777777"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(6) In this regulation the index figure for a given year is - </w:t>
            </w:r>
          </w:p>
          <w:p w14:paraId="0E478589" w14:textId="6E082265"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(a) the figure for 1st November for the preceding year in the </w:t>
            </w:r>
            <w:r w:rsidR="47EC26E8" w:rsidRPr="4A4F46FD">
              <w:rPr>
                <w:rFonts w:asciiTheme="minorHAnsi" w:eastAsiaTheme="minorEastAsia" w:hAnsiTheme="minorHAnsi" w:cstheme="minorBidi"/>
              </w:rPr>
              <w:t>RICS</w:t>
            </w:r>
            <w:r w:rsidRPr="4A4F46FD">
              <w:rPr>
                <w:rFonts w:asciiTheme="minorHAnsi" w:eastAsiaTheme="minorEastAsia" w:hAnsiTheme="minorHAnsi" w:cstheme="minorBidi"/>
              </w:rPr>
              <w:t xml:space="preserve"> </w:t>
            </w:r>
            <w:r w:rsidR="223B6C62" w:rsidRPr="4A4F46FD">
              <w:rPr>
                <w:rFonts w:asciiTheme="minorHAnsi" w:eastAsiaTheme="minorEastAsia" w:hAnsiTheme="minorHAnsi" w:cstheme="minorBidi"/>
              </w:rPr>
              <w:t>CIL</w:t>
            </w:r>
            <w:r w:rsidRPr="4A4F46FD">
              <w:rPr>
                <w:rFonts w:asciiTheme="minorHAnsi" w:eastAsiaTheme="minorEastAsia" w:hAnsiTheme="minorHAnsi" w:cstheme="minorBidi"/>
              </w:rPr>
              <w:t xml:space="preserve"> Index published from time to time by the Building Cost Information Service of the Royal Institution of Chartered Surveyors</w:t>
            </w:r>
            <w:r w:rsidR="526CEE51" w:rsidRPr="4A4F46FD">
              <w:rPr>
                <w:rFonts w:asciiTheme="minorHAnsi" w:eastAsiaTheme="minorEastAsia" w:hAnsiTheme="minorHAnsi" w:cstheme="minorBidi"/>
              </w:rPr>
              <w:t xml:space="preserve"> </w:t>
            </w:r>
            <w:r w:rsidRPr="4A4F46FD">
              <w:rPr>
                <w:rFonts w:asciiTheme="minorHAnsi" w:eastAsiaTheme="minorEastAsia" w:hAnsiTheme="minorHAnsi" w:cstheme="minorBidi"/>
              </w:rPr>
              <w:t>(</w:t>
            </w:r>
            <w:r w:rsidRPr="4A4F46FD">
              <w:rPr>
                <w:rFonts w:asciiTheme="minorHAnsi" w:eastAsiaTheme="minorEastAsia" w:hAnsiTheme="minorHAnsi" w:cstheme="minorBidi"/>
                <w:b/>
                <w:bCs/>
              </w:rPr>
              <w:t>1</w:t>
            </w:r>
            <w:r w:rsidRPr="4A4F46FD">
              <w:rPr>
                <w:rFonts w:asciiTheme="minorHAnsi" w:eastAsiaTheme="minorEastAsia" w:hAnsiTheme="minorHAnsi" w:cstheme="minorBidi"/>
              </w:rPr>
              <w:t>); or</w:t>
            </w:r>
          </w:p>
          <w:p w14:paraId="7462F90B" w14:textId="4D06AAD6"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(b) if the </w:t>
            </w:r>
            <w:r w:rsidR="47EC26E8" w:rsidRPr="4A4F46FD">
              <w:rPr>
                <w:rFonts w:asciiTheme="minorHAnsi" w:eastAsiaTheme="minorEastAsia" w:hAnsiTheme="minorHAnsi" w:cstheme="minorBidi"/>
              </w:rPr>
              <w:t xml:space="preserve">RICS </w:t>
            </w:r>
            <w:r w:rsidR="223B6C62" w:rsidRPr="4A4F46FD">
              <w:rPr>
                <w:rFonts w:asciiTheme="minorHAnsi" w:eastAsiaTheme="minorEastAsia" w:hAnsiTheme="minorHAnsi" w:cstheme="minorBidi"/>
              </w:rPr>
              <w:t>CIL</w:t>
            </w:r>
            <w:r w:rsidRPr="4A4F46FD">
              <w:rPr>
                <w:rFonts w:asciiTheme="minorHAnsi" w:eastAsiaTheme="minorEastAsia" w:hAnsiTheme="minorHAnsi" w:cstheme="minorBidi"/>
              </w:rPr>
              <w:t xml:space="preserve"> Index ceases to be published, the figure for 1st November for the preceding year in the retail prices index.</w:t>
            </w:r>
          </w:p>
          <w:p w14:paraId="548FF07F" w14:textId="77777777"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(7) The value of A must be calculated by applying the following formula—</w:t>
            </w:r>
          </w:p>
          <w:p w14:paraId="0A4F7224" w14:textId="77777777" w:rsidR="00C7785F" w:rsidRPr="001B2DA0" w:rsidRDefault="467C6B73" w:rsidP="4A4F46FD">
            <w:pPr>
              <w:autoSpaceDE w:val="0"/>
              <w:autoSpaceDN w:val="0"/>
              <w:adjustRightInd w:val="0"/>
              <w:jc w:val="center"/>
              <w:rPr>
                <w:rFonts w:asciiTheme="minorHAnsi" w:eastAsiaTheme="minorEastAsia" w:hAnsiTheme="minorHAnsi" w:cstheme="minorBidi"/>
              </w:rPr>
            </w:pPr>
            <w:r>
              <w:rPr>
                <w:noProof/>
                <w:lang w:eastAsia="en-GB"/>
              </w:rPr>
              <w:drawing>
                <wp:inline distT="0" distB="0" distL="0" distR="0" wp14:anchorId="1445D160" wp14:editId="44272DFB">
                  <wp:extent cx="1170940" cy="52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rcRect l="41229" t="27010" r="39241" b="57556"/>
                          <a:stretch>
                            <a:fillRect/>
                          </a:stretch>
                        </pic:blipFill>
                        <pic:spPr>
                          <a:xfrm>
                            <a:off x="0" y="0"/>
                            <a:ext cx="1170940" cy="523875"/>
                          </a:xfrm>
                          <a:prstGeom prst="rect">
                            <a:avLst/>
                          </a:prstGeom>
                        </pic:spPr>
                      </pic:pic>
                    </a:graphicData>
                  </a:graphic>
                </wp:inline>
              </w:drawing>
            </w:r>
          </w:p>
          <w:p w14:paraId="78132811"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where—</w:t>
            </w:r>
          </w:p>
          <w:p w14:paraId="33A3158E"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 xml:space="preserve">G </w:t>
            </w:r>
            <w:r w:rsidRPr="4A4F46FD">
              <w:rPr>
                <w:rFonts w:asciiTheme="minorHAnsi" w:eastAsiaTheme="minorEastAsia" w:hAnsiTheme="minorHAnsi" w:cstheme="minorBidi"/>
              </w:rPr>
              <w:t>= the gross internal area of the chargeable development;</w:t>
            </w:r>
          </w:p>
          <w:p w14:paraId="00DDFA0E" w14:textId="77777777" w:rsidR="00C7785F" w:rsidRPr="001B2DA0"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G</w:t>
            </w:r>
            <w:r w:rsidRPr="4A4F46FD">
              <w:rPr>
                <w:rFonts w:asciiTheme="minorHAnsi" w:eastAsiaTheme="minorEastAsia" w:hAnsiTheme="minorHAnsi" w:cstheme="minorBidi"/>
                <w:i/>
                <w:iCs/>
                <w:vertAlign w:val="subscript"/>
              </w:rPr>
              <w:t>R</w:t>
            </w:r>
            <w:r w:rsidRPr="4A4F46FD">
              <w:rPr>
                <w:rFonts w:asciiTheme="minorHAnsi" w:eastAsiaTheme="minorEastAsia" w:hAnsiTheme="minorHAnsi" w:cstheme="minorBidi"/>
              </w:rPr>
              <w:t xml:space="preserve"> = the gross internal area of the part of the chargeable development chargeable at rate R;</w:t>
            </w:r>
          </w:p>
          <w:p w14:paraId="12C626C3" w14:textId="77777777"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i/>
                <w:iCs/>
              </w:rPr>
              <w:t>K</w:t>
            </w:r>
            <w:r w:rsidRPr="4A4F46FD">
              <w:rPr>
                <w:rFonts w:asciiTheme="minorHAnsi" w:eastAsiaTheme="minorEastAsia" w:hAnsiTheme="minorHAnsi" w:cstheme="minorBidi"/>
                <w:i/>
                <w:iCs/>
                <w:vertAlign w:val="subscript"/>
              </w:rPr>
              <w:t>R</w:t>
            </w:r>
            <w:r w:rsidRPr="4A4F46FD">
              <w:rPr>
                <w:rFonts w:asciiTheme="minorHAnsi" w:eastAsiaTheme="minorEastAsia" w:hAnsiTheme="minorHAnsi" w:cstheme="minorBidi"/>
              </w:rPr>
              <w:t xml:space="preserve"> = the aggregate of the gross internal areas of the following—</w:t>
            </w:r>
          </w:p>
          <w:p w14:paraId="26151937" w14:textId="77777777" w:rsidR="00C7785F" w:rsidRPr="00A74976" w:rsidRDefault="00C7785F" w:rsidP="4A4F46FD">
            <w:pPr>
              <w:numPr>
                <w:ilvl w:val="0"/>
                <w:numId w:val="19"/>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retained parts of in-use buildings, and </w:t>
            </w:r>
          </w:p>
          <w:p w14:paraId="18842EA3" w14:textId="77777777" w:rsidR="00C7785F" w:rsidRPr="00A74976" w:rsidRDefault="00C7785F" w:rsidP="4A4F46FD">
            <w:pPr>
              <w:numPr>
                <w:ilvl w:val="0"/>
                <w:numId w:val="19"/>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for other relevant buildings, retained parts where the intended use following completion of the chargeable development is a use that is able to be carried on lawfully and permanently without further planning permission in that part on the day before planning permission first permits the chargeable development;</w:t>
            </w:r>
          </w:p>
          <w:p w14:paraId="35E9C5DE"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i/>
                <w:iCs/>
              </w:rPr>
              <w:t>E</w:t>
            </w:r>
            <w:r w:rsidRPr="4A4F46FD">
              <w:rPr>
                <w:rFonts w:asciiTheme="minorHAnsi" w:eastAsiaTheme="minorEastAsia" w:hAnsiTheme="minorHAnsi" w:cstheme="minorBidi"/>
              </w:rPr>
              <w:t xml:space="preserve"> = the aggregate of the following—</w:t>
            </w:r>
          </w:p>
          <w:p w14:paraId="24280616" w14:textId="77777777" w:rsidR="00C7785F" w:rsidRPr="00A74976" w:rsidRDefault="00C7785F" w:rsidP="4A4F46FD">
            <w:pPr>
              <w:numPr>
                <w:ilvl w:val="0"/>
                <w:numId w:val="20"/>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the gross internal areas of parts of in-use buildings that are to be demolished before completion of the chargeable development, and</w:t>
            </w:r>
          </w:p>
          <w:p w14:paraId="23068FD0" w14:textId="77777777" w:rsidR="00C7785F" w:rsidRPr="00A74976" w:rsidRDefault="00C7785F" w:rsidP="4A4F46FD">
            <w:pPr>
              <w:numPr>
                <w:ilvl w:val="0"/>
                <w:numId w:val="20"/>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for the second and subsequent phases of a phased planning permission, the value E</w:t>
            </w:r>
            <w:r w:rsidRPr="4A4F46FD">
              <w:rPr>
                <w:rFonts w:asciiTheme="minorHAnsi" w:eastAsiaTheme="minorEastAsia" w:hAnsiTheme="minorHAnsi" w:cstheme="minorBidi"/>
                <w:vertAlign w:val="subscript"/>
              </w:rPr>
              <w:t>x</w:t>
            </w:r>
            <w:r w:rsidRPr="4A4F46FD">
              <w:rPr>
                <w:rFonts w:asciiTheme="minorHAnsi" w:eastAsiaTheme="minorEastAsia" w:hAnsiTheme="minorHAnsi" w:cstheme="minorBidi"/>
              </w:rPr>
              <w:t xml:space="preserve"> (as determined under paragraph (8)), unless E</w:t>
            </w:r>
            <w:r w:rsidRPr="4A4F46FD">
              <w:rPr>
                <w:rFonts w:asciiTheme="minorHAnsi" w:eastAsiaTheme="minorEastAsia" w:hAnsiTheme="minorHAnsi" w:cstheme="minorBidi"/>
                <w:vertAlign w:val="subscript"/>
              </w:rPr>
              <w:t>x</w:t>
            </w:r>
            <w:r w:rsidRPr="4A4F46FD">
              <w:rPr>
                <w:rFonts w:asciiTheme="minorHAnsi" w:eastAsiaTheme="minorEastAsia" w:hAnsiTheme="minorHAnsi" w:cstheme="minorBidi"/>
              </w:rPr>
              <w:t xml:space="preserve"> is negative, </w:t>
            </w:r>
          </w:p>
          <w:p w14:paraId="23563722" w14:textId="77777777" w:rsidR="00C7785F" w:rsidRPr="00A74976" w:rsidRDefault="00C7785F" w:rsidP="4A4F46FD">
            <w:pPr>
              <w:autoSpaceDE w:val="0"/>
              <w:autoSpaceDN w:val="0"/>
              <w:adjustRightInd w:val="0"/>
              <w:ind w:left="840"/>
              <w:rPr>
                <w:rFonts w:asciiTheme="minorHAnsi" w:eastAsiaTheme="minorEastAsia" w:hAnsiTheme="minorHAnsi" w:cstheme="minorBidi"/>
              </w:rPr>
            </w:pPr>
            <w:r w:rsidRPr="4A4F46FD">
              <w:rPr>
                <w:rFonts w:asciiTheme="minorHAnsi" w:eastAsiaTheme="minorEastAsia" w:hAnsiTheme="minorHAnsi" w:cstheme="minorBidi"/>
              </w:rPr>
              <w:t>provided that no part of any building may be taken into account under both of paragraphs (i) and (ii) above.</w:t>
            </w:r>
          </w:p>
          <w:p w14:paraId="5AE48A43"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p>
          <w:p w14:paraId="3B51E01C" w14:textId="77777777" w:rsidR="00C7785F" w:rsidRPr="00A74976" w:rsidRDefault="00C7785F" w:rsidP="4A4F46FD">
            <w:p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(8) The value </w:t>
            </w:r>
            <w:r w:rsidRPr="4A4F46FD">
              <w:rPr>
                <w:rFonts w:asciiTheme="minorHAnsi" w:eastAsiaTheme="minorEastAsia" w:hAnsiTheme="minorHAnsi" w:cstheme="minorBidi"/>
                <w:i/>
                <w:iCs/>
              </w:rPr>
              <w:t>E</w:t>
            </w:r>
            <w:r w:rsidRPr="4A4F46FD">
              <w:rPr>
                <w:rFonts w:asciiTheme="minorHAnsi" w:eastAsiaTheme="minorEastAsia" w:hAnsiTheme="minorHAnsi" w:cstheme="minorBidi"/>
                <w:vertAlign w:val="subscript"/>
              </w:rPr>
              <w:t xml:space="preserve">x </w:t>
            </w:r>
            <w:r w:rsidRPr="4A4F46FD">
              <w:rPr>
                <w:rFonts w:asciiTheme="minorHAnsi" w:eastAsiaTheme="minorEastAsia" w:hAnsiTheme="minorHAnsi" w:cstheme="minorBidi"/>
              </w:rPr>
              <w:t>must be calculated by applying the following formula—</w:t>
            </w:r>
          </w:p>
          <w:p w14:paraId="4F594971" w14:textId="77777777" w:rsidR="00C7785F" w:rsidRDefault="00C7785F" w:rsidP="4A4F46FD">
            <w:pPr>
              <w:autoSpaceDE w:val="0"/>
              <w:autoSpaceDN w:val="0"/>
              <w:adjustRightInd w:val="0"/>
              <w:ind w:left="60"/>
              <w:rPr>
                <w:rFonts w:asciiTheme="minorHAnsi" w:eastAsiaTheme="minorEastAsia" w:hAnsiTheme="minorHAnsi" w:cstheme="minorBidi"/>
                <w:i/>
                <w:iCs/>
              </w:rPr>
            </w:pPr>
            <w:r w:rsidRPr="4A4F46FD">
              <w:rPr>
                <w:rFonts w:asciiTheme="minorHAnsi" w:eastAsiaTheme="minorEastAsia" w:hAnsiTheme="minorHAnsi" w:cstheme="minorBidi"/>
                <w:i/>
                <w:iCs/>
              </w:rPr>
              <w:t xml:space="preserve">                                               E</w:t>
            </w:r>
            <w:r w:rsidRPr="4A4F46FD">
              <w:rPr>
                <w:rFonts w:asciiTheme="minorHAnsi" w:eastAsiaTheme="minorEastAsia" w:hAnsiTheme="minorHAnsi" w:cstheme="minorBidi"/>
                <w:i/>
                <w:iCs/>
                <w:vertAlign w:val="subscript"/>
              </w:rPr>
              <w:t>P</w:t>
            </w:r>
            <w:r w:rsidRPr="4A4F46FD">
              <w:rPr>
                <w:rFonts w:asciiTheme="minorHAnsi" w:eastAsiaTheme="minorEastAsia" w:hAnsiTheme="minorHAnsi" w:cstheme="minorBidi"/>
                <w:i/>
                <w:iCs/>
              </w:rPr>
              <w:t xml:space="preserve"> – (G</w:t>
            </w:r>
            <w:r w:rsidRPr="4A4F46FD">
              <w:rPr>
                <w:rFonts w:asciiTheme="minorHAnsi" w:eastAsiaTheme="minorEastAsia" w:hAnsiTheme="minorHAnsi" w:cstheme="minorBidi"/>
                <w:i/>
                <w:iCs/>
                <w:vertAlign w:val="subscript"/>
              </w:rPr>
              <w:t>P</w:t>
            </w:r>
            <w:r w:rsidRPr="4A4F46FD">
              <w:rPr>
                <w:rFonts w:asciiTheme="minorHAnsi" w:eastAsiaTheme="minorEastAsia" w:hAnsiTheme="minorHAnsi" w:cstheme="minorBidi"/>
                <w:i/>
                <w:iCs/>
              </w:rPr>
              <w:t xml:space="preserve"> – K</w:t>
            </w:r>
            <w:r w:rsidRPr="4A4F46FD">
              <w:rPr>
                <w:rFonts w:asciiTheme="minorHAnsi" w:eastAsiaTheme="minorEastAsia" w:hAnsiTheme="minorHAnsi" w:cstheme="minorBidi"/>
                <w:i/>
                <w:iCs/>
                <w:vertAlign w:val="subscript"/>
              </w:rPr>
              <w:t>PR</w:t>
            </w:r>
            <w:r w:rsidRPr="4A4F46FD">
              <w:rPr>
                <w:rFonts w:asciiTheme="minorHAnsi" w:eastAsiaTheme="minorEastAsia" w:hAnsiTheme="minorHAnsi" w:cstheme="minorBidi"/>
                <w:i/>
                <w:iCs/>
              </w:rPr>
              <w:t>)</w:t>
            </w:r>
          </w:p>
          <w:p w14:paraId="01435E52"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where— </w:t>
            </w:r>
          </w:p>
          <w:p w14:paraId="044A010E"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i/>
                <w:iCs/>
              </w:rPr>
              <w:t>E</w:t>
            </w:r>
            <w:r w:rsidRPr="4A4F46FD">
              <w:rPr>
                <w:rFonts w:asciiTheme="minorHAnsi" w:eastAsiaTheme="minorEastAsia" w:hAnsiTheme="minorHAnsi" w:cstheme="minorBidi"/>
                <w:i/>
                <w:iCs/>
                <w:vertAlign w:val="subscript"/>
              </w:rPr>
              <w:t>P</w:t>
            </w:r>
            <w:r w:rsidRPr="4A4F46FD">
              <w:rPr>
                <w:rFonts w:asciiTheme="minorHAnsi" w:eastAsiaTheme="minorEastAsia" w:hAnsiTheme="minorHAnsi" w:cstheme="minorBidi"/>
                <w:vertAlign w:val="subscript"/>
              </w:rPr>
              <w:t xml:space="preserve"> </w:t>
            </w:r>
            <w:r w:rsidRPr="4A4F46FD">
              <w:rPr>
                <w:rFonts w:asciiTheme="minorHAnsi" w:eastAsiaTheme="minorEastAsia" w:hAnsiTheme="minorHAnsi" w:cstheme="minorBidi"/>
              </w:rPr>
              <w:t xml:space="preserve">= the value of E for the previously commenced phase of the planning permission; </w:t>
            </w:r>
          </w:p>
          <w:p w14:paraId="008A4D70"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i/>
                <w:iCs/>
              </w:rPr>
              <w:t>G</w:t>
            </w:r>
            <w:r w:rsidRPr="4A4F46FD">
              <w:rPr>
                <w:rFonts w:asciiTheme="minorHAnsi" w:eastAsiaTheme="minorEastAsia" w:hAnsiTheme="minorHAnsi" w:cstheme="minorBidi"/>
                <w:i/>
                <w:iCs/>
                <w:vertAlign w:val="subscript"/>
              </w:rPr>
              <w:t>P</w:t>
            </w:r>
            <w:r w:rsidRPr="4A4F46FD">
              <w:rPr>
                <w:rFonts w:asciiTheme="minorHAnsi" w:eastAsiaTheme="minorEastAsia" w:hAnsiTheme="minorHAnsi" w:cstheme="minorBidi"/>
              </w:rPr>
              <w:t xml:space="preserve"> = the value of G for the previously commenced phase of the planning permission; and</w:t>
            </w:r>
          </w:p>
          <w:p w14:paraId="58A7DDCC"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i/>
                <w:iCs/>
              </w:rPr>
              <w:t>K</w:t>
            </w:r>
            <w:r w:rsidRPr="4A4F46FD">
              <w:rPr>
                <w:rFonts w:asciiTheme="minorHAnsi" w:eastAsiaTheme="minorEastAsia" w:hAnsiTheme="minorHAnsi" w:cstheme="minorBidi"/>
                <w:i/>
                <w:iCs/>
                <w:vertAlign w:val="subscript"/>
              </w:rPr>
              <w:t>PR</w:t>
            </w:r>
            <w:r w:rsidRPr="4A4F46FD">
              <w:rPr>
                <w:rFonts w:asciiTheme="minorHAnsi" w:eastAsiaTheme="minorEastAsia" w:hAnsiTheme="minorHAnsi" w:cstheme="minorBidi"/>
                <w:vertAlign w:val="subscript"/>
              </w:rPr>
              <w:t xml:space="preserve"> </w:t>
            </w:r>
            <w:r w:rsidRPr="4A4F46FD">
              <w:rPr>
                <w:rFonts w:asciiTheme="minorHAnsi" w:eastAsiaTheme="minorEastAsia" w:hAnsiTheme="minorHAnsi" w:cstheme="minorBidi"/>
              </w:rPr>
              <w:t>= the total of the values of K</w:t>
            </w:r>
            <w:r w:rsidRPr="4A4F46FD">
              <w:rPr>
                <w:rFonts w:asciiTheme="minorHAnsi" w:eastAsiaTheme="minorEastAsia" w:hAnsiTheme="minorHAnsi" w:cstheme="minorBidi"/>
                <w:vertAlign w:val="subscript"/>
              </w:rPr>
              <w:t>R</w:t>
            </w:r>
            <w:r w:rsidRPr="4A4F46FD">
              <w:rPr>
                <w:rFonts w:asciiTheme="minorHAnsi" w:eastAsiaTheme="minorEastAsia" w:hAnsiTheme="minorHAnsi" w:cstheme="minorBidi"/>
              </w:rPr>
              <w:t xml:space="preserve"> for the previously commenced phase of the planning permission. </w:t>
            </w:r>
          </w:p>
          <w:p w14:paraId="35E4C91A"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(9) Where a collecting authority does not have sufficient information, or information of sufficient quality, to enable it to establish that a relevant building is an in-use building, it may deem it not to be an in-use building. </w:t>
            </w:r>
          </w:p>
          <w:p w14:paraId="428B5036"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(10) Where a collecting authority does not have sufficient information, or information of sufficient quality, to enable it to establish— </w:t>
            </w:r>
          </w:p>
          <w:p w14:paraId="30AF3BE6"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(a) whether part of a building falls within a description in the definitions of K</w:t>
            </w:r>
            <w:r w:rsidRPr="4A4F46FD">
              <w:rPr>
                <w:rFonts w:asciiTheme="minorHAnsi" w:eastAsiaTheme="minorEastAsia" w:hAnsiTheme="minorHAnsi" w:cstheme="minorBidi"/>
                <w:vertAlign w:val="subscript"/>
              </w:rPr>
              <w:t>R</w:t>
            </w:r>
            <w:r w:rsidRPr="4A4F46FD">
              <w:rPr>
                <w:rFonts w:asciiTheme="minorHAnsi" w:eastAsiaTheme="minorEastAsia" w:hAnsiTheme="minorHAnsi" w:cstheme="minorBidi"/>
              </w:rPr>
              <w:t xml:space="preserve"> and E in paragraph (7); or </w:t>
            </w:r>
          </w:p>
          <w:p w14:paraId="41177A94"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(b) the gross internal area of any part of a building falling within such a description, it may deem the gross internal area of the part in question to be zero. </w:t>
            </w:r>
          </w:p>
          <w:p w14:paraId="49E0D808"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(11) In this regulation—</w:t>
            </w:r>
          </w:p>
          <w:p w14:paraId="7DA55C69"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 “building” does not include— </w:t>
            </w:r>
          </w:p>
          <w:p w14:paraId="22560A1E" w14:textId="77777777" w:rsidR="00C7785F" w:rsidRPr="00A74976" w:rsidRDefault="00C7785F" w:rsidP="4A4F46FD">
            <w:pPr>
              <w:numPr>
                <w:ilvl w:val="0"/>
                <w:numId w:val="21"/>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a building into which people do not normally go,</w:t>
            </w:r>
          </w:p>
          <w:p w14:paraId="14C78C32" w14:textId="77777777" w:rsidR="00C7785F" w:rsidRPr="00A74976" w:rsidRDefault="00C7785F" w:rsidP="4A4F46FD">
            <w:pPr>
              <w:numPr>
                <w:ilvl w:val="0"/>
                <w:numId w:val="21"/>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a building into which people go only intermittently for the purpose of maintaining or inspecting machinery, or</w:t>
            </w:r>
          </w:p>
          <w:p w14:paraId="41801296" w14:textId="77777777" w:rsidR="00C7785F" w:rsidRPr="00A74976" w:rsidRDefault="00C7785F" w:rsidP="4A4F46FD">
            <w:pPr>
              <w:numPr>
                <w:ilvl w:val="0"/>
                <w:numId w:val="21"/>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a building for which planning permission was granted for a limited period; </w:t>
            </w:r>
          </w:p>
          <w:p w14:paraId="535F932E"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“in-use building” means a building which—</w:t>
            </w:r>
          </w:p>
          <w:p w14:paraId="359BC08C" w14:textId="77777777" w:rsidR="00C7785F" w:rsidRPr="00A74976" w:rsidRDefault="00C7785F" w:rsidP="4A4F46FD">
            <w:pPr>
              <w:numPr>
                <w:ilvl w:val="0"/>
                <w:numId w:val="22"/>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is a relevant building, and</w:t>
            </w:r>
          </w:p>
          <w:p w14:paraId="4374684A" w14:textId="77777777" w:rsidR="00C7785F" w:rsidRPr="00A74976" w:rsidRDefault="00C7785F" w:rsidP="4A4F46FD">
            <w:pPr>
              <w:numPr>
                <w:ilvl w:val="0"/>
                <w:numId w:val="22"/>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contains a part that has been in lawful use for a continuous period of at least six months within the period of three years ending on the day planning permission first permits the chargeable development; </w:t>
            </w:r>
          </w:p>
          <w:p w14:paraId="22F38F63"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“new build” means that part of the chargeable development which will comprise new buildings and enlargements to existing buildings;</w:t>
            </w:r>
          </w:p>
          <w:p w14:paraId="2E7ACFC2"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“relevant building” means a building which is situated on the relevant land on the day planning permission first permits the chargeable development;</w:t>
            </w:r>
          </w:p>
          <w:p w14:paraId="4124C830"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 xml:space="preserve">“relevant charging schedules” means the charging schedules which are in effect— </w:t>
            </w:r>
          </w:p>
          <w:p w14:paraId="7CABBEAE" w14:textId="77777777" w:rsidR="00C7785F" w:rsidRPr="00A74976" w:rsidRDefault="00C7785F" w:rsidP="4A4F46FD">
            <w:pPr>
              <w:numPr>
                <w:ilvl w:val="0"/>
                <w:numId w:val="23"/>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at the time planning permission first permits the chargeable development, and</w:t>
            </w:r>
          </w:p>
          <w:p w14:paraId="62118388" w14:textId="77777777" w:rsidR="00C7785F" w:rsidRPr="00A74976" w:rsidRDefault="00C7785F" w:rsidP="4A4F46FD">
            <w:pPr>
              <w:numPr>
                <w:ilvl w:val="0"/>
                <w:numId w:val="23"/>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in the area in which the chargeable development will be situated;</w:t>
            </w:r>
          </w:p>
          <w:p w14:paraId="7E5406BC" w14:textId="77777777" w:rsidR="00C7785F" w:rsidRPr="00A74976" w:rsidRDefault="00C7785F" w:rsidP="4A4F46FD">
            <w:pPr>
              <w:autoSpaceDE w:val="0"/>
              <w:autoSpaceDN w:val="0"/>
              <w:adjustRightInd w:val="0"/>
              <w:ind w:left="60"/>
              <w:rPr>
                <w:rFonts w:asciiTheme="minorHAnsi" w:eastAsiaTheme="minorEastAsia" w:hAnsiTheme="minorHAnsi" w:cstheme="minorBidi"/>
              </w:rPr>
            </w:pPr>
            <w:r w:rsidRPr="4A4F46FD">
              <w:rPr>
                <w:rFonts w:asciiTheme="minorHAnsi" w:eastAsiaTheme="minorEastAsia" w:hAnsiTheme="minorHAnsi" w:cstheme="minorBidi"/>
              </w:rPr>
              <w:t>“retained part” means part of a building which will be—</w:t>
            </w:r>
          </w:p>
          <w:p w14:paraId="23DD31C9" w14:textId="77777777" w:rsidR="00C7785F" w:rsidRPr="00A74976" w:rsidRDefault="00C7785F" w:rsidP="4A4F46FD">
            <w:pPr>
              <w:numPr>
                <w:ilvl w:val="0"/>
                <w:numId w:val="24"/>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on the relevant land on completion of the chargeable development (excluding new build), </w:t>
            </w:r>
          </w:p>
          <w:p w14:paraId="6A3BDB37" w14:textId="77777777" w:rsidR="00C7785F" w:rsidRPr="00A74976" w:rsidRDefault="00C7785F" w:rsidP="4A4F46FD">
            <w:pPr>
              <w:numPr>
                <w:ilvl w:val="0"/>
                <w:numId w:val="24"/>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 xml:space="preserve">part of the chargeable development on completion, and </w:t>
            </w:r>
          </w:p>
          <w:p w14:paraId="29D6B04F" w14:textId="48F727F7" w:rsidR="00C7785F" w:rsidRPr="001B2DA0" w:rsidRDefault="00C7785F" w:rsidP="4A4F46FD">
            <w:pPr>
              <w:numPr>
                <w:ilvl w:val="0"/>
                <w:numId w:val="24"/>
              </w:numPr>
              <w:autoSpaceDE w:val="0"/>
              <w:autoSpaceDN w:val="0"/>
              <w:adjustRightInd w:val="0"/>
              <w:rPr>
                <w:rFonts w:asciiTheme="minorHAnsi" w:eastAsiaTheme="minorEastAsia" w:hAnsiTheme="minorHAnsi" w:cstheme="minorBidi"/>
              </w:rPr>
            </w:pPr>
            <w:r w:rsidRPr="4A4F46FD">
              <w:rPr>
                <w:rFonts w:asciiTheme="minorHAnsi" w:eastAsiaTheme="minorEastAsia" w:hAnsiTheme="minorHAnsi" w:cstheme="minorBidi"/>
              </w:rPr>
              <w:t>chargeable at rate R.”</w:t>
            </w:r>
          </w:p>
        </w:tc>
      </w:tr>
    </w:tbl>
    <w:p w14:paraId="0A6959E7" w14:textId="3985EC78" w:rsidR="00655169" w:rsidRDefault="00C7785F" w:rsidP="4A4F46FD">
      <w:pPr>
        <w:numPr>
          <w:ilvl w:val="0"/>
          <w:numId w:val="26"/>
        </w:numPr>
        <w:rPr>
          <w:rFonts w:asciiTheme="minorHAnsi" w:eastAsiaTheme="minorEastAsia" w:hAnsiTheme="minorHAnsi" w:cstheme="minorBidi"/>
          <w:color w:val="007373"/>
        </w:rPr>
      </w:pPr>
      <w:r w:rsidRPr="4A4F46FD">
        <w:rPr>
          <w:rFonts w:asciiTheme="minorHAnsi" w:eastAsiaTheme="minorEastAsia" w:hAnsiTheme="minorHAnsi" w:cstheme="minorBidi"/>
          <w:color w:val="007373"/>
        </w:rPr>
        <w:t>Registered in England and Wales RC00487.</w:t>
      </w:r>
    </w:p>
    <w:p w14:paraId="7E60951F" w14:textId="77777777" w:rsidR="00C7785F" w:rsidRPr="00AD51EA" w:rsidRDefault="00655169" w:rsidP="4A4F46FD">
      <w:pPr>
        <w:rPr>
          <w:rFonts w:asciiTheme="minorHAnsi" w:eastAsiaTheme="minorEastAsia" w:hAnsiTheme="minorHAnsi" w:cstheme="minorBidi"/>
          <w:b/>
          <w:bCs/>
          <w:color w:val="0000FF"/>
        </w:rPr>
      </w:pPr>
      <w:r w:rsidRPr="4A4F46FD">
        <w:rPr>
          <w:rFonts w:asciiTheme="minorHAnsi" w:eastAsiaTheme="minorEastAsia" w:hAnsiTheme="minorHAnsi" w:cstheme="minorBidi"/>
          <w:b/>
          <w:bCs/>
          <w:color w:val="0000FF"/>
        </w:rPr>
        <w:br w:type="page"/>
      </w:r>
      <w:r w:rsidRPr="4A4F46FD">
        <w:rPr>
          <w:rFonts w:asciiTheme="minorHAnsi" w:eastAsiaTheme="minorEastAsia" w:hAnsiTheme="minorHAnsi" w:cstheme="minorBidi"/>
          <w:b/>
          <w:bCs/>
          <w:color w:val="007373"/>
        </w:rPr>
        <w:t xml:space="preserve">Annex 3 </w:t>
      </w:r>
      <w:r w:rsidR="00C7785F" w:rsidRPr="4A4F46FD">
        <w:rPr>
          <w:rFonts w:asciiTheme="minorHAnsi" w:eastAsiaTheme="minorEastAsia" w:hAnsiTheme="minorHAnsi" w:cstheme="minorBidi"/>
          <w:b/>
          <w:bCs/>
          <w:color w:val="007373"/>
        </w:rPr>
        <w:t xml:space="preserve">– How to measure Gross Internal Area </w:t>
      </w:r>
    </w:p>
    <w:p w14:paraId="33EFA0DC" w14:textId="77777777" w:rsidR="00C7785F" w:rsidRPr="00AD51EA" w:rsidRDefault="00C7785F" w:rsidP="4A4F46FD">
      <w:pPr>
        <w:rPr>
          <w:rFonts w:asciiTheme="minorHAnsi" w:eastAsiaTheme="minorEastAsia" w:hAnsiTheme="minorHAnsi" w:cstheme="minorBidi"/>
        </w:rPr>
      </w:pPr>
      <w:r w:rsidRPr="4A4F46FD">
        <w:rPr>
          <w:rFonts w:asciiTheme="minorHAnsi" w:eastAsiaTheme="minorEastAsia" w:hAnsiTheme="minorHAnsi" w:cstheme="minorBidi"/>
        </w:rPr>
        <w:t>Oxford City Council will use the Royal Institution of Chartered Surveyors (RICS)’s Code of Measuring Practice to measure or check the Gross Internal Area (GIA) of a development and calculate or confirm its relevant CIL rate. The guide below is based on RICS’ Code of Measuring Practice (6</w:t>
      </w:r>
      <w:r w:rsidRPr="4A4F46FD">
        <w:rPr>
          <w:rFonts w:asciiTheme="minorHAnsi" w:eastAsiaTheme="minorEastAsia" w:hAnsiTheme="minorHAnsi" w:cstheme="minorBidi"/>
          <w:vertAlign w:val="superscript"/>
        </w:rPr>
        <w:t>th</w:t>
      </w:r>
      <w:r w:rsidRPr="4A4F46FD">
        <w:rPr>
          <w:rFonts w:asciiTheme="minorHAnsi" w:eastAsiaTheme="minorEastAsia" w:hAnsiTheme="minorHAnsi" w:cstheme="minorBidi"/>
        </w:rPr>
        <w:t xml:space="preserve"> edition, with amendments), the full Code of Measuring Practice is available in RICS website at </w:t>
      </w:r>
      <w:hyperlink r:id="rId25">
        <w:r w:rsidRPr="4A4F46FD">
          <w:rPr>
            <w:rStyle w:val="Hyperlink"/>
            <w:rFonts w:asciiTheme="minorHAnsi" w:eastAsiaTheme="minorEastAsia" w:hAnsiTheme="minorHAnsi" w:cstheme="minorBidi"/>
            <w:color w:val="007373"/>
          </w:rPr>
          <w:t>http://www.rics.org</w:t>
        </w:r>
      </w:hyperlink>
    </w:p>
    <w:p w14:paraId="77A52294" w14:textId="77777777" w:rsidR="00C7785F" w:rsidRPr="00AD51EA" w:rsidRDefault="00C7785F" w:rsidP="4A4F46FD">
      <w:pPr>
        <w:rPr>
          <w:rFonts w:asciiTheme="minorHAnsi" w:eastAsiaTheme="minorEastAsia" w:hAnsiTheme="minorHAnsi" w:cstheme="minorBid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88"/>
      </w:tblGrid>
      <w:tr w:rsidR="00C7785F" w:rsidRPr="00667A91" w14:paraId="5806D94A" w14:textId="77777777" w:rsidTr="4A4F46FD">
        <w:tc>
          <w:tcPr>
            <w:tcW w:w="9288" w:type="dxa"/>
          </w:tcPr>
          <w:p w14:paraId="418611F3" w14:textId="77777777" w:rsidR="00C7785F" w:rsidRPr="00AD51EA" w:rsidRDefault="00C7785F" w:rsidP="4A4F46FD">
            <w:pPr>
              <w:pStyle w:val="Default"/>
              <w:jc w:val="both"/>
              <w:rPr>
                <w:rFonts w:asciiTheme="minorHAnsi" w:eastAsiaTheme="minorEastAsia" w:hAnsiTheme="minorHAnsi" w:cstheme="minorBidi"/>
              </w:rPr>
            </w:pPr>
            <w:r w:rsidRPr="4A4F46FD">
              <w:rPr>
                <w:rFonts w:asciiTheme="minorHAnsi" w:eastAsiaTheme="minorEastAsia" w:hAnsiTheme="minorHAnsi" w:cstheme="minorBidi"/>
              </w:rPr>
              <w:t xml:space="preserve">GIA is the area of a building measured to the internal face of the perimeter walls at each floor level. </w:t>
            </w:r>
          </w:p>
          <w:p w14:paraId="007DCDA8" w14:textId="77777777" w:rsidR="00C7785F" w:rsidRPr="00AD51EA" w:rsidRDefault="00C7785F" w:rsidP="4A4F46FD">
            <w:pPr>
              <w:pStyle w:val="Default"/>
              <w:jc w:val="both"/>
              <w:rPr>
                <w:rFonts w:asciiTheme="minorHAnsi" w:eastAsiaTheme="minorEastAsia" w:hAnsiTheme="minorHAnsi" w:cstheme="minorBidi"/>
              </w:rPr>
            </w:pPr>
          </w:p>
          <w:p w14:paraId="34E4A127" w14:textId="77777777" w:rsidR="00C7785F" w:rsidRPr="00AD51EA" w:rsidRDefault="00C7785F" w:rsidP="4A4F46FD">
            <w:pPr>
              <w:pStyle w:val="Default"/>
              <w:jc w:val="both"/>
              <w:rPr>
                <w:rFonts w:asciiTheme="minorHAnsi" w:eastAsiaTheme="minorEastAsia" w:hAnsiTheme="minorHAnsi" w:cstheme="minorBidi"/>
              </w:rPr>
            </w:pPr>
            <w:r w:rsidRPr="4A4F46FD">
              <w:rPr>
                <w:rFonts w:asciiTheme="minorHAnsi" w:eastAsiaTheme="minorEastAsia" w:hAnsiTheme="minorHAnsi" w:cstheme="minorBidi"/>
              </w:rPr>
              <w:t xml:space="preserve">Including: </w:t>
            </w:r>
          </w:p>
          <w:p w14:paraId="45005BAA"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Areas occupied by internal walls and partitions </w:t>
            </w:r>
          </w:p>
          <w:p w14:paraId="247238A6"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Columns, piers, chimney breasts, stairwells, lift-wells, other internal projections, vertical ducts, and the like </w:t>
            </w:r>
          </w:p>
          <w:p w14:paraId="24D9A3F1"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Atria and entrance halls, with clear height above, measured at base level only </w:t>
            </w:r>
          </w:p>
          <w:p w14:paraId="23EB324C"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Internal open-sided balconies, walkways, and the like </w:t>
            </w:r>
          </w:p>
          <w:p w14:paraId="0AD9E0EE"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Structural, raked or stepped floors are property to be treated as a level floor measured horizontally </w:t>
            </w:r>
          </w:p>
          <w:p w14:paraId="3FE6EBDE"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Horizontal floors, with permanent access, below structural, raked or stepped floors </w:t>
            </w:r>
          </w:p>
          <w:p w14:paraId="2F240429"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Corridors of a permanent essential nature (e.g. fire corridors, smoke lobbies) </w:t>
            </w:r>
          </w:p>
          <w:p w14:paraId="56E78EDA"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Mezzanine floor areas with permanent access </w:t>
            </w:r>
          </w:p>
          <w:p w14:paraId="435D829E"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Lift rooms, plant rooms, fuel stores, tank rooms which are housed in a covered structure of a permanent nature, whether or not above the main roof level </w:t>
            </w:r>
          </w:p>
          <w:p w14:paraId="69499EAB"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Service accommodation such as toilets, toilet lobbies, bathrooms, showers, changing rooms, cleaners’ rooms, and the like </w:t>
            </w:r>
          </w:p>
          <w:p w14:paraId="12691DE8"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Projection rooms </w:t>
            </w:r>
          </w:p>
          <w:p w14:paraId="3CF0D7BB"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Voids over stairwells and lift shafts on upper floors </w:t>
            </w:r>
          </w:p>
          <w:p w14:paraId="25566D3B"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Loading bays </w:t>
            </w:r>
          </w:p>
          <w:p w14:paraId="551A1FD9"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Areas with a headroom of less than 1.5m* </w:t>
            </w:r>
          </w:p>
          <w:p w14:paraId="2B448A0E"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Pavement vaults </w:t>
            </w:r>
          </w:p>
          <w:p w14:paraId="59542918"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Garages </w:t>
            </w:r>
          </w:p>
          <w:p w14:paraId="0226ABB4"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Conservatories </w:t>
            </w:r>
          </w:p>
          <w:p w14:paraId="450EA2D7" w14:textId="77777777" w:rsidR="00C7785F" w:rsidRPr="00AD51EA" w:rsidRDefault="00C7785F" w:rsidP="4A4F46FD">
            <w:pPr>
              <w:pStyle w:val="Default"/>
              <w:rPr>
                <w:rFonts w:asciiTheme="minorHAnsi" w:eastAsiaTheme="minorEastAsia" w:hAnsiTheme="minorHAnsi" w:cstheme="minorBidi"/>
              </w:rPr>
            </w:pPr>
          </w:p>
          <w:p w14:paraId="5BEE7999" w14:textId="77777777" w:rsidR="00C7785F" w:rsidRPr="00AD51EA" w:rsidRDefault="00C7785F" w:rsidP="4A4F46FD">
            <w:pPr>
              <w:pStyle w:val="Default"/>
              <w:ind w:left="180"/>
              <w:jc w:val="both"/>
              <w:rPr>
                <w:rFonts w:asciiTheme="minorHAnsi" w:eastAsiaTheme="minorEastAsia" w:hAnsiTheme="minorHAnsi" w:cstheme="minorBidi"/>
              </w:rPr>
            </w:pPr>
            <w:r w:rsidRPr="4A4F46FD">
              <w:rPr>
                <w:rFonts w:asciiTheme="minorHAnsi" w:eastAsiaTheme="minorEastAsia" w:hAnsiTheme="minorHAnsi" w:cstheme="minorBidi"/>
              </w:rPr>
              <w:t xml:space="preserve">Excluding: </w:t>
            </w:r>
          </w:p>
          <w:p w14:paraId="3C350713"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Perimeter wall thicknesses and external projections </w:t>
            </w:r>
          </w:p>
          <w:p w14:paraId="5CE100F4"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External open-sided balconies, covered ways and fire escapes </w:t>
            </w:r>
          </w:p>
          <w:p w14:paraId="68142232"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Canopies </w:t>
            </w:r>
          </w:p>
          <w:p w14:paraId="5FC2E671"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Voids over or under structural, raked or stepped floors </w:t>
            </w:r>
          </w:p>
          <w:p w14:paraId="3BB23E86" w14:textId="77777777" w:rsidR="00C7785F" w:rsidRPr="00AD51EA" w:rsidRDefault="00C7785F" w:rsidP="4A4F46FD">
            <w:pPr>
              <w:pStyle w:val="Default"/>
              <w:numPr>
                <w:ilvl w:val="0"/>
                <w:numId w:val="12"/>
              </w:numPr>
              <w:jc w:val="both"/>
              <w:rPr>
                <w:rFonts w:asciiTheme="minorHAnsi" w:eastAsiaTheme="minorEastAsia" w:hAnsiTheme="minorHAnsi" w:cstheme="minorBidi"/>
              </w:rPr>
            </w:pPr>
            <w:r w:rsidRPr="4A4F46FD">
              <w:rPr>
                <w:rFonts w:asciiTheme="minorHAnsi" w:eastAsiaTheme="minorEastAsia" w:hAnsiTheme="minorHAnsi" w:cstheme="minorBidi"/>
              </w:rPr>
              <w:t xml:space="preserve">Greenhouses, garden stores, fuel stores, and the like in residential </w:t>
            </w:r>
          </w:p>
          <w:p w14:paraId="3DD355C9" w14:textId="77777777" w:rsidR="00C7785F" w:rsidRPr="00AD51EA" w:rsidRDefault="00C7785F" w:rsidP="4A4F46FD">
            <w:pPr>
              <w:pStyle w:val="Default"/>
              <w:jc w:val="both"/>
              <w:rPr>
                <w:rFonts w:asciiTheme="minorHAnsi" w:eastAsiaTheme="minorEastAsia" w:hAnsiTheme="minorHAnsi" w:cstheme="minorBidi"/>
              </w:rPr>
            </w:pPr>
          </w:p>
          <w:p w14:paraId="25C61B3E" w14:textId="77777777" w:rsidR="00C7785F" w:rsidRPr="00667A91" w:rsidRDefault="00C7785F"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GIA is the basis of measurement in England and Wales for the rating of industrial buildings, warehouses, retail warehouses, department stores, variety stores, food superstores and many specialist classes valued by reference to building cost (areas with a headroom of less than 1.5m being excluded except under stairs) </w:t>
            </w:r>
          </w:p>
        </w:tc>
      </w:tr>
    </w:tbl>
    <w:p w14:paraId="1A81F0B1" w14:textId="77777777" w:rsidR="00C7785F" w:rsidRDefault="00C7785F" w:rsidP="4A4F46FD">
      <w:pPr>
        <w:rPr>
          <w:rFonts w:asciiTheme="minorHAnsi" w:eastAsiaTheme="minorEastAsia" w:hAnsiTheme="minorHAnsi" w:cstheme="minorBidi"/>
          <w:b/>
          <w:bCs/>
          <w:color w:val="0000FF"/>
        </w:rPr>
      </w:pPr>
    </w:p>
    <w:p w14:paraId="717AAFBA" w14:textId="44A60CCF" w:rsidR="00D07C7A" w:rsidRPr="0095407D" w:rsidRDefault="00C7785F" w:rsidP="4A4F46FD">
      <w:pPr>
        <w:rPr>
          <w:rFonts w:asciiTheme="minorHAnsi" w:eastAsiaTheme="minorEastAsia" w:hAnsiTheme="minorHAnsi" w:cstheme="minorBidi"/>
          <w:b/>
          <w:bCs/>
          <w:color w:val="0000FF"/>
        </w:rPr>
      </w:pPr>
      <w:r w:rsidRPr="4A4F46FD">
        <w:rPr>
          <w:rFonts w:asciiTheme="minorHAnsi" w:eastAsiaTheme="minorEastAsia" w:hAnsiTheme="minorHAnsi" w:cstheme="minorBidi"/>
          <w:b/>
          <w:bCs/>
          <w:color w:val="0000FF"/>
        </w:rPr>
        <w:br w:type="page"/>
      </w:r>
      <w:r w:rsidR="00634710" w:rsidRPr="4A4F46FD">
        <w:rPr>
          <w:rFonts w:asciiTheme="minorHAnsi" w:eastAsiaTheme="minorEastAsia" w:hAnsiTheme="minorHAnsi" w:cstheme="minorBidi"/>
          <w:b/>
          <w:bCs/>
          <w:color w:val="007373"/>
        </w:rPr>
        <w:t>Annex 4 – Instalments policy</w:t>
      </w:r>
    </w:p>
    <w:tbl>
      <w:tblPr>
        <w:tblW w:w="9576" w:type="dxa"/>
        <w:tblInd w:w="-2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6"/>
      </w:tblGrid>
      <w:tr w:rsidR="00680252" w14:paraId="0FE7028C" w14:textId="77777777" w:rsidTr="4A4F46FD">
        <w:trPr>
          <w:trHeight w:val="12825"/>
        </w:trPr>
        <w:tc>
          <w:tcPr>
            <w:tcW w:w="9576" w:type="dxa"/>
          </w:tcPr>
          <w:tbl>
            <w:tblPr>
              <w:tblpPr w:leftFromText="180" w:rightFromText="180" w:vertAnchor="text" w:horzAnchor="margin" w:tblpY="-178"/>
              <w:tblW w:w="9360" w:type="dxa"/>
              <w:tblLook w:val="01E0" w:firstRow="1" w:lastRow="1" w:firstColumn="1" w:lastColumn="1" w:noHBand="0" w:noVBand="0"/>
            </w:tblPr>
            <w:tblGrid>
              <w:gridCol w:w="6217"/>
              <w:gridCol w:w="3143"/>
            </w:tblGrid>
            <w:tr w:rsidR="00680252" w:rsidRPr="001B2DA0" w14:paraId="10FC8002" w14:textId="77777777" w:rsidTr="4A4F46FD">
              <w:tc>
                <w:tcPr>
                  <w:tcW w:w="6217" w:type="dxa"/>
                  <w:shd w:val="clear" w:color="auto" w:fill="auto"/>
                </w:tcPr>
                <w:p w14:paraId="71CFBCDA" w14:textId="18AB809B" w:rsidR="00680252" w:rsidRPr="000A2D05" w:rsidRDefault="6C7AE9DA" w:rsidP="000A2D05">
                  <w:pPr>
                    <w:rPr>
                      <w:rFonts w:asciiTheme="minorHAnsi" w:eastAsiaTheme="minorEastAsia" w:hAnsiTheme="minorHAnsi" w:cstheme="minorBidi"/>
                      <w:lang w:val="en"/>
                    </w:rPr>
                  </w:pPr>
                  <w:r w:rsidRPr="000A2D05">
                    <w:rPr>
                      <w:rFonts w:asciiTheme="minorHAnsi" w:eastAsiaTheme="minorEastAsia" w:hAnsiTheme="minorHAnsi" w:cstheme="minorBidi"/>
                      <w:b/>
                      <w:bCs/>
                      <w:color w:val="007373"/>
                    </w:rPr>
                    <w:t>Community Infrastructure Levy</w:t>
                  </w:r>
                  <w:r w:rsidR="000A2D05" w:rsidRPr="000A2D05">
                    <w:rPr>
                      <w:rFonts w:asciiTheme="minorHAnsi" w:eastAsiaTheme="minorEastAsia" w:hAnsiTheme="minorHAnsi" w:cstheme="minorBidi"/>
                      <w:b/>
                      <w:bCs/>
                      <w:color w:val="007373"/>
                    </w:rPr>
                    <w:t xml:space="preserve"> </w:t>
                  </w:r>
                  <w:r w:rsidRPr="000A2D05">
                    <w:rPr>
                      <w:rFonts w:asciiTheme="minorHAnsi" w:eastAsiaTheme="minorEastAsia" w:hAnsiTheme="minorHAnsi" w:cstheme="minorBidi"/>
                      <w:b/>
                      <w:bCs/>
                      <w:color w:val="007373"/>
                    </w:rPr>
                    <w:t>Instal</w:t>
                  </w:r>
                  <w:r w:rsidR="710808FD" w:rsidRPr="000A2D05">
                    <w:rPr>
                      <w:rFonts w:asciiTheme="minorHAnsi" w:eastAsiaTheme="minorEastAsia" w:hAnsiTheme="minorHAnsi" w:cstheme="minorBidi"/>
                      <w:b/>
                      <w:bCs/>
                      <w:color w:val="007373"/>
                    </w:rPr>
                    <w:t>l</w:t>
                  </w:r>
                  <w:r w:rsidRPr="000A2D05">
                    <w:rPr>
                      <w:rFonts w:asciiTheme="minorHAnsi" w:eastAsiaTheme="minorEastAsia" w:hAnsiTheme="minorHAnsi" w:cstheme="minorBidi"/>
                      <w:b/>
                      <w:bCs/>
                      <w:color w:val="007373"/>
                    </w:rPr>
                    <w:t xml:space="preserve">ments </w:t>
                  </w:r>
                  <w:r w:rsidR="710808FD" w:rsidRPr="000A2D05">
                    <w:rPr>
                      <w:rFonts w:asciiTheme="minorHAnsi" w:eastAsiaTheme="minorEastAsia" w:hAnsiTheme="minorHAnsi" w:cstheme="minorBidi"/>
                      <w:b/>
                      <w:bCs/>
                      <w:color w:val="007373"/>
                    </w:rPr>
                    <w:t>P</w:t>
                  </w:r>
                  <w:r w:rsidRPr="000A2D05">
                    <w:rPr>
                      <w:rFonts w:asciiTheme="minorHAnsi" w:eastAsiaTheme="minorEastAsia" w:hAnsiTheme="minorHAnsi" w:cstheme="minorBidi"/>
                      <w:b/>
                      <w:bCs/>
                      <w:color w:val="007373"/>
                    </w:rPr>
                    <w:t>olicy</w:t>
                  </w:r>
                </w:p>
              </w:tc>
              <w:tc>
                <w:tcPr>
                  <w:tcW w:w="3143" w:type="dxa"/>
                  <w:shd w:val="clear" w:color="auto" w:fill="auto"/>
                </w:tcPr>
                <w:p w14:paraId="56EE48EE" w14:textId="77777777" w:rsidR="00680252" w:rsidRPr="001B2DA0" w:rsidRDefault="32220DC9" w:rsidP="000A2D05">
                  <w:pPr>
                    <w:pStyle w:val="ListParagraph"/>
                    <w:spacing w:line="259" w:lineRule="auto"/>
                    <w:rPr>
                      <w:rFonts w:asciiTheme="minorHAnsi" w:eastAsiaTheme="minorEastAsia" w:hAnsiTheme="minorHAnsi" w:cstheme="minorBidi"/>
                      <w:lang w:val="en"/>
                    </w:rPr>
                  </w:pPr>
                  <w:r>
                    <w:rPr>
                      <w:noProof/>
                      <w:lang w:eastAsia="en-GB"/>
                    </w:rPr>
                    <w:drawing>
                      <wp:anchor distT="0" distB="0" distL="114300" distR="114300" simplePos="0" relativeHeight="251658242" behindDoc="0" locked="0" layoutInCell="1" allowOverlap="1" wp14:anchorId="3ED5FC33" wp14:editId="39998747">
                        <wp:simplePos x="0" y="0"/>
                        <wp:positionH relativeFrom="column">
                          <wp:posOffset>1033145</wp:posOffset>
                        </wp:positionH>
                        <wp:positionV relativeFrom="paragraph">
                          <wp:posOffset>33020</wp:posOffset>
                        </wp:positionV>
                        <wp:extent cx="836295" cy="1126490"/>
                        <wp:effectExtent l="0" t="0" r="1905" b="0"/>
                        <wp:wrapSquare wrapText="bothSides"/>
                        <wp:docPr id="4" name="Picture 4" descr="OxfordCityCouncil_Black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836295" cy="1126490"/>
                                </a:xfrm>
                                <a:prstGeom prst="rect">
                                  <a:avLst/>
                                </a:prstGeom>
                              </pic:spPr>
                            </pic:pic>
                          </a:graphicData>
                        </a:graphic>
                        <wp14:sizeRelH relativeFrom="page">
                          <wp14:pctWidth>0</wp14:pctWidth>
                        </wp14:sizeRelH>
                        <wp14:sizeRelV relativeFrom="page">
                          <wp14:pctHeight>0</wp14:pctHeight>
                        </wp14:sizeRelV>
                      </wp:anchor>
                    </w:drawing>
                  </w:r>
                </w:p>
              </w:tc>
            </w:tr>
          </w:tbl>
          <w:p w14:paraId="130B5693" w14:textId="1536FB27" w:rsidR="00680252" w:rsidRPr="000A2D05" w:rsidRDefault="6C7AE9DA" w:rsidP="000A2D05">
            <w:pPr>
              <w:pStyle w:val="ListParagraph"/>
              <w:numPr>
                <w:ilvl w:val="0"/>
                <w:numId w:val="36"/>
              </w:numPr>
              <w:spacing w:line="259" w:lineRule="auto"/>
              <w:rPr>
                <w:rFonts w:asciiTheme="minorHAnsi" w:eastAsiaTheme="minorEastAsia" w:hAnsiTheme="minorHAnsi" w:cstheme="minorBidi"/>
              </w:rPr>
            </w:pPr>
            <w:r w:rsidRPr="000A2D05">
              <w:rPr>
                <w:rFonts w:asciiTheme="minorHAnsi" w:eastAsiaTheme="minorEastAsia" w:hAnsiTheme="minorHAnsi" w:cstheme="minorBidi"/>
              </w:rPr>
              <w:t>This policy is made in line with regulation 69B of the Community Infrastructure Levy (A</w:t>
            </w:r>
            <w:r w:rsidR="00C27960" w:rsidRPr="000A2D05">
              <w:rPr>
                <w:rFonts w:asciiTheme="minorHAnsi" w:eastAsiaTheme="minorEastAsia" w:hAnsiTheme="minorHAnsi" w:cstheme="minorBidi"/>
              </w:rPr>
              <w:t>s amended)</w:t>
            </w:r>
            <w:r w:rsidRPr="000A2D05">
              <w:rPr>
                <w:rFonts w:asciiTheme="minorHAnsi" w:eastAsiaTheme="minorEastAsia" w:hAnsiTheme="minorHAnsi" w:cstheme="minorBidi"/>
              </w:rPr>
              <w:t>. Oxford City Council will allow the payment of CIL as outlined in points 1 and 2 below:</w:t>
            </w:r>
          </w:p>
          <w:p w14:paraId="6E6EDF31" w14:textId="77777777" w:rsidR="00680252" w:rsidRPr="003F7D52"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Where the chargeable amount is less than £200,000 the chargeable amount will be required within 60 days of commencement.</w:t>
            </w:r>
          </w:p>
          <w:p w14:paraId="49F42762" w14:textId="77777777" w:rsidR="00680252"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Where the chargeable amount is</w:t>
            </w:r>
            <w:r w:rsidR="00F35A8D" w:rsidRPr="4A4F46FD">
              <w:rPr>
                <w:rFonts w:asciiTheme="minorHAnsi" w:eastAsiaTheme="minorEastAsia" w:hAnsiTheme="minorHAnsi" w:cstheme="minorBidi"/>
              </w:rPr>
              <w:t xml:space="preserve"> between</w:t>
            </w:r>
            <w:r w:rsidRPr="4A4F46FD">
              <w:rPr>
                <w:rFonts w:asciiTheme="minorHAnsi" w:eastAsiaTheme="minorEastAsia" w:hAnsiTheme="minorHAnsi" w:cstheme="minorBidi"/>
              </w:rPr>
              <w:t xml:space="preserve"> £200,0</w:t>
            </w:r>
            <w:r w:rsidR="4E30ECC1" w:rsidRPr="4A4F46FD">
              <w:rPr>
                <w:rFonts w:asciiTheme="minorHAnsi" w:eastAsiaTheme="minorEastAsia" w:hAnsiTheme="minorHAnsi" w:cstheme="minorBidi"/>
              </w:rPr>
              <w:t>0</w:t>
            </w:r>
            <w:r w:rsidRPr="4A4F46FD">
              <w:rPr>
                <w:rFonts w:asciiTheme="minorHAnsi" w:eastAsiaTheme="minorEastAsia" w:hAnsiTheme="minorHAnsi" w:cstheme="minorBidi"/>
              </w:rPr>
              <w:t>0</w:t>
            </w:r>
            <w:r w:rsidR="00F35A8D" w:rsidRPr="4A4F46FD">
              <w:rPr>
                <w:rFonts w:asciiTheme="minorHAnsi" w:eastAsiaTheme="minorEastAsia" w:hAnsiTheme="minorHAnsi" w:cstheme="minorBidi"/>
              </w:rPr>
              <w:t xml:space="preserve"> and £2 million,</w:t>
            </w:r>
            <w:r w:rsidRPr="4A4F46FD">
              <w:rPr>
                <w:rFonts w:asciiTheme="minorHAnsi" w:eastAsiaTheme="minorEastAsia" w:hAnsiTheme="minorHAnsi" w:cstheme="minorBidi"/>
              </w:rPr>
              <w:t xml:space="preserve"> the chargeable amount will be required as per the following four instalments:</w:t>
            </w:r>
          </w:p>
          <w:p w14:paraId="37BC3B0F" w14:textId="77777777" w:rsidR="000A2D05" w:rsidRPr="002D2612" w:rsidRDefault="000A2D05" w:rsidP="000A2D05">
            <w:pPr>
              <w:pStyle w:val="ListParagraph"/>
              <w:spacing w:line="259" w:lineRule="auto"/>
              <w:rPr>
                <w:rFonts w:asciiTheme="minorHAnsi" w:eastAsiaTheme="minorEastAsia" w:hAnsiTheme="minorHAnsi" w:cstheme="minorBidi"/>
              </w:rPr>
            </w:pPr>
          </w:p>
          <w:tbl>
            <w:tblPr>
              <w:tblW w:w="0" w:type="auto"/>
              <w:tblInd w:w="380" w:type="dxa"/>
              <w:tblBorders>
                <w:top w:val="single" w:sz="12" w:space="0" w:color="auto"/>
                <w:bottom w:val="single" w:sz="12" w:space="0" w:color="auto"/>
                <w:insideH w:val="single" w:sz="2" w:space="0" w:color="auto"/>
                <w:insideV w:val="single" w:sz="2" w:space="0" w:color="auto"/>
              </w:tblBorders>
              <w:tblLook w:val="01E0" w:firstRow="1" w:lastRow="1" w:firstColumn="1" w:lastColumn="1" w:noHBand="0" w:noVBand="0"/>
            </w:tblPr>
            <w:tblGrid>
              <w:gridCol w:w="2147"/>
              <w:gridCol w:w="2147"/>
              <w:gridCol w:w="2147"/>
              <w:gridCol w:w="2148"/>
            </w:tblGrid>
            <w:tr w:rsidR="00680252" w:rsidRPr="000A2D05" w14:paraId="09617A44" w14:textId="77777777" w:rsidTr="000A2D05">
              <w:tc>
                <w:tcPr>
                  <w:tcW w:w="2147" w:type="dxa"/>
                  <w:shd w:val="clear" w:color="auto" w:fill="auto"/>
                </w:tcPr>
                <w:p w14:paraId="23656F98" w14:textId="0C7FAD0D"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1st instalment</w:t>
                  </w:r>
                </w:p>
              </w:tc>
              <w:tc>
                <w:tcPr>
                  <w:tcW w:w="2147" w:type="dxa"/>
                  <w:shd w:val="clear" w:color="auto" w:fill="auto"/>
                </w:tcPr>
                <w:p w14:paraId="1810210F" w14:textId="155A38C5"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2nd instalment</w:t>
                  </w:r>
                </w:p>
              </w:tc>
              <w:tc>
                <w:tcPr>
                  <w:tcW w:w="2147" w:type="dxa"/>
                  <w:shd w:val="clear" w:color="auto" w:fill="auto"/>
                </w:tcPr>
                <w:p w14:paraId="4D876E9B" w14:textId="4140AAAB"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3rd instalment</w:t>
                  </w:r>
                </w:p>
              </w:tc>
              <w:tc>
                <w:tcPr>
                  <w:tcW w:w="2148" w:type="dxa"/>
                  <w:shd w:val="clear" w:color="auto" w:fill="auto"/>
                </w:tcPr>
                <w:p w14:paraId="3FDCDD8A" w14:textId="68E03870"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4th instalment</w:t>
                  </w:r>
                </w:p>
              </w:tc>
            </w:tr>
            <w:tr w:rsidR="00680252" w:rsidRPr="000A2D05" w14:paraId="0F884F80" w14:textId="77777777" w:rsidTr="000A2D05">
              <w:tc>
                <w:tcPr>
                  <w:tcW w:w="2147" w:type="dxa"/>
                  <w:shd w:val="clear" w:color="auto" w:fill="auto"/>
                </w:tcPr>
                <w:p w14:paraId="4CDC75CA"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71D3E4AC"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within 60 days</w:t>
                  </w:r>
                </w:p>
              </w:tc>
              <w:tc>
                <w:tcPr>
                  <w:tcW w:w="2147" w:type="dxa"/>
                  <w:shd w:val="clear" w:color="auto" w:fill="auto"/>
                </w:tcPr>
                <w:p w14:paraId="4137B3FB"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53DDF59F"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within 160 days</w:t>
                  </w:r>
                </w:p>
              </w:tc>
              <w:tc>
                <w:tcPr>
                  <w:tcW w:w="2147" w:type="dxa"/>
                  <w:shd w:val="clear" w:color="auto" w:fill="auto"/>
                </w:tcPr>
                <w:p w14:paraId="24D7D3BE"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116F3647"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within 260 days</w:t>
                  </w:r>
                </w:p>
              </w:tc>
              <w:tc>
                <w:tcPr>
                  <w:tcW w:w="2148" w:type="dxa"/>
                  <w:shd w:val="clear" w:color="auto" w:fill="auto"/>
                </w:tcPr>
                <w:p w14:paraId="427C9917"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7E630A77" w14:textId="77777777" w:rsidR="00680252" w:rsidRPr="000A2D05" w:rsidRDefault="6C7AE9DA"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within 360 days</w:t>
                  </w:r>
                </w:p>
              </w:tc>
            </w:tr>
          </w:tbl>
          <w:p w14:paraId="201067CD" w14:textId="77777777" w:rsidR="000A2D05" w:rsidRDefault="000A2D05" w:rsidP="000A2D05">
            <w:pPr>
              <w:pStyle w:val="ListBullet"/>
              <w:numPr>
                <w:ilvl w:val="0"/>
                <w:numId w:val="0"/>
              </w:numPr>
              <w:rPr>
                <w:rFonts w:asciiTheme="minorHAnsi" w:eastAsiaTheme="minorEastAsia" w:hAnsiTheme="minorHAnsi" w:cstheme="minorHAnsi"/>
              </w:rPr>
            </w:pPr>
          </w:p>
          <w:p w14:paraId="111C28DD" w14:textId="779B68CD" w:rsidR="00F35A8D" w:rsidRDefault="00F35A8D" w:rsidP="000A2D05">
            <w:pPr>
              <w:pStyle w:val="ListBullet"/>
              <w:numPr>
                <w:ilvl w:val="0"/>
                <w:numId w:val="0"/>
              </w:numPr>
              <w:rPr>
                <w:rFonts w:asciiTheme="minorHAnsi" w:eastAsiaTheme="minorEastAsia" w:hAnsiTheme="minorHAnsi" w:cstheme="minorBidi"/>
              </w:rPr>
            </w:pPr>
            <w:r w:rsidRPr="000A2D05">
              <w:rPr>
                <w:rFonts w:asciiTheme="minorHAnsi" w:eastAsiaTheme="minorEastAsia" w:hAnsiTheme="minorHAnsi" w:cstheme="minorBidi"/>
              </w:rPr>
              <w:t>Where the chargeable amount is over £2 million, the chargeable amount will be required as per the following four instalments:</w:t>
            </w:r>
          </w:p>
          <w:p w14:paraId="108DD9E1" w14:textId="77777777" w:rsidR="000A2D05" w:rsidRPr="000A2D05" w:rsidRDefault="000A2D05" w:rsidP="000A2D05">
            <w:pPr>
              <w:pStyle w:val="ListBullet"/>
              <w:numPr>
                <w:ilvl w:val="0"/>
                <w:numId w:val="0"/>
              </w:numPr>
              <w:rPr>
                <w:rFonts w:asciiTheme="minorHAnsi" w:eastAsiaTheme="minorEastAsia" w:hAnsiTheme="minorHAnsi" w:cstheme="minorHAnsi"/>
              </w:rPr>
            </w:pPr>
          </w:p>
          <w:tbl>
            <w:tblPr>
              <w:tblW w:w="0" w:type="auto"/>
              <w:tblInd w:w="380" w:type="dxa"/>
              <w:tblBorders>
                <w:top w:val="single" w:sz="12" w:space="0" w:color="auto"/>
                <w:bottom w:val="single" w:sz="12" w:space="0" w:color="auto"/>
                <w:insideH w:val="single" w:sz="2" w:space="0" w:color="auto"/>
                <w:insideV w:val="single" w:sz="2" w:space="0" w:color="auto"/>
              </w:tblBorders>
              <w:tblLook w:val="01E0" w:firstRow="1" w:lastRow="1" w:firstColumn="1" w:lastColumn="1" w:noHBand="0" w:noVBand="0"/>
            </w:tblPr>
            <w:tblGrid>
              <w:gridCol w:w="2147"/>
              <w:gridCol w:w="2147"/>
              <w:gridCol w:w="2147"/>
              <w:gridCol w:w="2148"/>
            </w:tblGrid>
            <w:tr w:rsidR="00F35A8D" w:rsidRPr="000A2D05" w14:paraId="42CDB5EE" w14:textId="77777777" w:rsidTr="000A2D05">
              <w:tc>
                <w:tcPr>
                  <w:tcW w:w="2147" w:type="dxa"/>
                  <w:shd w:val="clear" w:color="auto" w:fill="auto"/>
                </w:tcPr>
                <w:p w14:paraId="1F62A99E" w14:textId="49C371EF"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1st instalment</w:t>
                  </w:r>
                </w:p>
              </w:tc>
              <w:tc>
                <w:tcPr>
                  <w:tcW w:w="2147" w:type="dxa"/>
                  <w:shd w:val="clear" w:color="auto" w:fill="auto"/>
                </w:tcPr>
                <w:p w14:paraId="1A5C07C7" w14:textId="6A25DE06"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2nd instalment</w:t>
                  </w:r>
                </w:p>
              </w:tc>
              <w:tc>
                <w:tcPr>
                  <w:tcW w:w="2147" w:type="dxa"/>
                  <w:shd w:val="clear" w:color="auto" w:fill="auto"/>
                </w:tcPr>
                <w:p w14:paraId="12425054" w14:textId="05C4CE2A"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3rd instalment</w:t>
                  </w:r>
                </w:p>
              </w:tc>
              <w:tc>
                <w:tcPr>
                  <w:tcW w:w="2148" w:type="dxa"/>
                  <w:shd w:val="clear" w:color="auto" w:fill="auto"/>
                </w:tcPr>
                <w:p w14:paraId="53D8A65E" w14:textId="7CE2041D"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4th instalment</w:t>
                  </w:r>
                </w:p>
              </w:tc>
            </w:tr>
            <w:tr w:rsidR="00F35A8D" w:rsidRPr="000A2D05" w14:paraId="382BC88F" w14:textId="77777777" w:rsidTr="000A2D05">
              <w:tc>
                <w:tcPr>
                  <w:tcW w:w="2147" w:type="dxa"/>
                  <w:shd w:val="clear" w:color="auto" w:fill="auto"/>
                </w:tcPr>
                <w:p w14:paraId="36642C3F"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7482C4F4"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within 60 days</w:t>
                  </w:r>
                </w:p>
              </w:tc>
              <w:tc>
                <w:tcPr>
                  <w:tcW w:w="2147" w:type="dxa"/>
                  <w:shd w:val="clear" w:color="auto" w:fill="auto"/>
                </w:tcPr>
                <w:p w14:paraId="35579432"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56F980BC"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By end of year 1</w:t>
                  </w:r>
                </w:p>
              </w:tc>
              <w:tc>
                <w:tcPr>
                  <w:tcW w:w="2147" w:type="dxa"/>
                  <w:shd w:val="clear" w:color="auto" w:fill="auto"/>
                </w:tcPr>
                <w:p w14:paraId="467A6D02"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30253713"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By end of year 2</w:t>
                  </w:r>
                </w:p>
              </w:tc>
              <w:tc>
                <w:tcPr>
                  <w:tcW w:w="2148" w:type="dxa"/>
                  <w:shd w:val="clear" w:color="auto" w:fill="auto"/>
                </w:tcPr>
                <w:p w14:paraId="719E43EC"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25%</w:t>
                  </w:r>
                </w:p>
                <w:p w14:paraId="52E45C23" w14:textId="77777777" w:rsidR="00F35A8D" w:rsidRPr="000A2D05" w:rsidRDefault="00F35A8D" w:rsidP="000A2D05">
                  <w:pPr>
                    <w:pStyle w:val="ListBullet"/>
                    <w:numPr>
                      <w:ilvl w:val="0"/>
                      <w:numId w:val="0"/>
                    </w:numPr>
                    <w:jc w:val="center"/>
                    <w:rPr>
                      <w:rFonts w:asciiTheme="minorHAnsi" w:eastAsiaTheme="minorEastAsia" w:hAnsiTheme="minorHAnsi" w:cstheme="minorBidi"/>
                    </w:rPr>
                  </w:pPr>
                  <w:r w:rsidRPr="000A2D05">
                    <w:rPr>
                      <w:rFonts w:asciiTheme="minorHAnsi" w:eastAsiaTheme="minorEastAsia" w:hAnsiTheme="minorHAnsi" w:cstheme="minorBidi"/>
                    </w:rPr>
                    <w:t>By end of year 3</w:t>
                  </w:r>
                </w:p>
              </w:tc>
            </w:tr>
          </w:tbl>
          <w:p w14:paraId="22D79036" w14:textId="77777777" w:rsidR="000A2D05" w:rsidRDefault="000A2D05" w:rsidP="000A2D05">
            <w:pPr>
              <w:pStyle w:val="ListParagraph"/>
              <w:spacing w:line="259" w:lineRule="auto"/>
              <w:rPr>
                <w:rFonts w:asciiTheme="minorHAnsi" w:eastAsiaTheme="minorEastAsia" w:hAnsiTheme="minorHAnsi" w:cstheme="minorBidi"/>
              </w:rPr>
            </w:pPr>
          </w:p>
          <w:p w14:paraId="3348E20E" w14:textId="77777777" w:rsidR="00680252" w:rsidRPr="003F7D52"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 xml:space="preserve">Commencement will be taken to be the date advised by the developer in the commencement notice under CIL </w:t>
            </w:r>
            <w:r w:rsidR="7344561F" w:rsidRPr="4A4F46FD">
              <w:rPr>
                <w:rFonts w:asciiTheme="minorHAnsi" w:eastAsiaTheme="minorEastAsia" w:hAnsiTheme="minorHAnsi" w:cstheme="minorBidi"/>
              </w:rPr>
              <w:t>r</w:t>
            </w:r>
            <w:r w:rsidRPr="4A4F46FD">
              <w:rPr>
                <w:rFonts w:asciiTheme="minorHAnsi" w:eastAsiaTheme="minorEastAsia" w:hAnsiTheme="minorHAnsi" w:cstheme="minorBidi"/>
              </w:rPr>
              <w:t>egulation 67.</w:t>
            </w:r>
          </w:p>
          <w:p w14:paraId="4607532F" w14:textId="77777777" w:rsidR="00680252" w:rsidRPr="002A6278"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Notes</w:t>
            </w:r>
            <w:r w:rsidR="41D468F9" w:rsidRPr="4A4F46FD">
              <w:rPr>
                <w:rFonts w:asciiTheme="minorHAnsi" w:eastAsiaTheme="minorEastAsia" w:hAnsiTheme="minorHAnsi" w:cstheme="minorBidi"/>
              </w:rPr>
              <w:t>:</w:t>
            </w:r>
          </w:p>
          <w:p w14:paraId="78B300B0" w14:textId="77777777" w:rsidR="00680252" w:rsidRPr="002A6278"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N1: When the City Council grants an outline planning permission which permits development to be implemented in phases, each phase of development is a separate chargeable development and the instalment policy will apply to each separate phase.</w:t>
            </w:r>
          </w:p>
          <w:p w14:paraId="2F5EC93F" w14:textId="77777777" w:rsidR="00680252" w:rsidRPr="002A6278" w:rsidRDefault="6C7AE9DA" w:rsidP="4A4F46FD">
            <w:pPr>
              <w:pStyle w:val="ListParagraph"/>
              <w:numPr>
                <w:ilvl w:val="0"/>
                <w:numId w:val="36"/>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N2: This policy will not apply if:</w:t>
            </w:r>
          </w:p>
          <w:p w14:paraId="0A2A6E9A" w14:textId="77777777" w:rsidR="00680252" w:rsidRPr="002A6278" w:rsidRDefault="6C7AE9DA" w:rsidP="4A4F46FD">
            <w:pPr>
              <w:numPr>
                <w:ilvl w:val="0"/>
                <w:numId w:val="18"/>
              </w:numPr>
              <w:spacing w:line="259" w:lineRule="auto"/>
              <w:ind w:left="714" w:hanging="357"/>
              <w:rPr>
                <w:rFonts w:asciiTheme="minorHAnsi" w:eastAsiaTheme="minorEastAsia" w:hAnsiTheme="minorHAnsi" w:cstheme="minorBidi"/>
              </w:rPr>
            </w:pPr>
            <w:r w:rsidRPr="4A4F46FD">
              <w:rPr>
                <w:rFonts w:asciiTheme="minorHAnsi" w:eastAsiaTheme="minorEastAsia" w:hAnsiTheme="minorHAnsi" w:cstheme="minorBidi"/>
              </w:rPr>
              <w:t>A commencement notice is not submitted prior to commencement of the chargeable development</w:t>
            </w:r>
          </w:p>
          <w:p w14:paraId="51EF5DBF" w14:textId="77777777" w:rsidR="00680252" w:rsidRPr="002A6278" w:rsidRDefault="6C7AE9DA" w:rsidP="4A4F46FD">
            <w:pPr>
              <w:numPr>
                <w:ilvl w:val="0"/>
                <w:numId w:val="18"/>
              </w:numPr>
              <w:spacing w:line="259" w:lineRule="auto"/>
              <w:ind w:left="714" w:hanging="357"/>
              <w:rPr>
                <w:rFonts w:asciiTheme="minorHAnsi" w:eastAsiaTheme="minorEastAsia" w:hAnsiTheme="minorHAnsi" w:cstheme="minorBidi"/>
              </w:rPr>
            </w:pPr>
            <w:r w:rsidRPr="4A4F46FD">
              <w:rPr>
                <w:rFonts w:asciiTheme="minorHAnsi" w:eastAsiaTheme="minorEastAsia" w:hAnsiTheme="minorHAnsi" w:cstheme="minorBidi"/>
              </w:rPr>
              <w:t>Nobody has assumed liability to pay CIL in respect of the chargeable development prior to the intended day of commencement</w:t>
            </w:r>
          </w:p>
          <w:p w14:paraId="71776629" w14:textId="77777777" w:rsidR="00680252" w:rsidRPr="002A6278" w:rsidRDefault="6C7AE9DA" w:rsidP="4A4F46FD">
            <w:pPr>
              <w:numPr>
                <w:ilvl w:val="0"/>
                <w:numId w:val="18"/>
              </w:numPr>
              <w:spacing w:line="259" w:lineRule="auto"/>
              <w:ind w:left="714" w:hanging="357"/>
              <w:rPr>
                <w:rFonts w:asciiTheme="minorHAnsi" w:eastAsiaTheme="minorEastAsia" w:hAnsiTheme="minorHAnsi" w:cstheme="minorBidi"/>
              </w:rPr>
            </w:pPr>
            <w:r w:rsidRPr="4A4F46FD">
              <w:rPr>
                <w:rFonts w:asciiTheme="minorHAnsi" w:eastAsiaTheme="minorEastAsia" w:hAnsiTheme="minorHAnsi" w:cstheme="minorBidi"/>
              </w:rPr>
              <w:t>Failure to notify the City Council of a disqualifying event before the end of 14 days beginning with the day the disqualifying event occurs</w:t>
            </w:r>
          </w:p>
          <w:p w14:paraId="017CD7D1" w14:textId="13BD4821" w:rsidR="00680252" w:rsidRPr="003F7D52" w:rsidRDefault="6C7AE9DA" w:rsidP="4A4F46FD">
            <w:pPr>
              <w:pStyle w:val="ListParagraph"/>
              <w:numPr>
                <w:ilvl w:val="0"/>
                <w:numId w:val="18"/>
              </w:numPr>
              <w:spacing w:line="259" w:lineRule="auto"/>
              <w:rPr>
                <w:rFonts w:asciiTheme="minorHAnsi" w:eastAsiaTheme="minorEastAsia" w:hAnsiTheme="minorHAnsi" w:cstheme="minorBidi"/>
              </w:rPr>
            </w:pPr>
            <w:r w:rsidRPr="4A4F46FD">
              <w:rPr>
                <w:rFonts w:asciiTheme="minorHAnsi" w:eastAsiaTheme="minorEastAsia" w:hAnsiTheme="minorHAnsi" w:cstheme="minorBidi"/>
              </w:rPr>
              <w:t>An instalment payment has not been made in full after the end of the period of 30 days beginning with the day on which the instalment payment was due</w:t>
            </w:r>
            <w:r w:rsidR="00AD51EA" w:rsidRPr="4A4F46FD">
              <w:rPr>
                <w:rFonts w:asciiTheme="minorHAnsi" w:eastAsiaTheme="minorEastAsia" w:hAnsiTheme="minorHAnsi" w:cstheme="minorBidi"/>
              </w:rPr>
              <w:t>.</w:t>
            </w:r>
          </w:p>
        </w:tc>
      </w:tr>
    </w:tbl>
    <w:p w14:paraId="121FD38A" w14:textId="38C20BB3" w:rsidR="00F11BBD" w:rsidRDefault="00F11BBD" w:rsidP="4A4F46FD">
      <w:pPr>
        <w:rPr>
          <w:rFonts w:asciiTheme="minorHAnsi" w:eastAsiaTheme="minorEastAsia" w:hAnsiTheme="minorHAnsi" w:cstheme="minorBidi"/>
        </w:rPr>
      </w:pPr>
    </w:p>
    <w:p w14:paraId="0747A341" w14:textId="77777777" w:rsidR="00F11BBD" w:rsidRDefault="00F11BBD" w:rsidP="4A4F46FD">
      <w:pPr>
        <w:rPr>
          <w:rFonts w:asciiTheme="minorHAnsi" w:eastAsiaTheme="minorEastAsia" w:hAnsiTheme="minorHAnsi" w:cstheme="minorBidi"/>
        </w:rPr>
      </w:pPr>
      <w:r w:rsidRPr="4A4F46FD">
        <w:rPr>
          <w:rFonts w:asciiTheme="minorHAnsi" w:eastAsiaTheme="minorEastAsia" w:hAnsiTheme="minorHAnsi" w:cstheme="minorBidi"/>
        </w:rPr>
        <w:br w:type="page"/>
      </w:r>
    </w:p>
    <w:p w14:paraId="21E4DDB6" w14:textId="749F3719" w:rsidR="00783376" w:rsidRDefault="00F11BBD" w:rsidP="4A4F46FD">
      <w:pPr>
        <w:rPr>
          <w:rFonts w:asciiTheme="minorHAnsi" w:eastAsiaTheme="minorEastAsia" w:hAnsiTheme="minorHAnsi" w:cstheme="minorBidi"/>
          <w:b/>
          <w:bCs/>
          <w:color w:val="007373"/>
        </w:rPr>
      </w:pPr>
      <w:r w:rsidRPr="4A4F46FD">
        <w:rPr>
          <w:rFonts w:asciiTheme="minorHAnsi" w:eastAsiaTheme="minorEastAsia" w:hAnsiTheme="minorHAnsi" w:cstheme="minorBidi"/>
          <w:b/>
          <w:bCs/>
          <w:color w:val="007373"/>
        </w:rPr>
        <w:t xml:space="preserve">Annex </w:t>
      </w:r>
      <w:r w:rsidR="00244307" w:rsidRPr="4A4F46FD">
        <w:rPr>
          <w:rFonts w:asciiTheme="minorHAnsi" w:eastAsiaTheme="minorEastAsia" w:hAnsiTheme="minorHAnsi" w:cstheme="minorBidi"/>
          <w:b/>
          <w:bCs/>
          <w:color w:val="007373"/>
        </w:rPr>
        <w:t>5</w:t>
      </w:r>
      <w:r w:rsidRPr="4A4F46FD">
        <w:rPr>
          <w:rFonts w:asciiTheme="minorHAnsi" w:eastAsiaTheme="minorEastAsia" w:hAnsiTheme="minorHAnsi" w:cstheme="minorBidi"/>
          <w:b/>
          <w:bCs/>
          <w:color w:val="007373"/>
        </w:rPr>
        <w:t xml:space="preserve"> –</w:t>
      </w:r>
      <w:r w:rsidR="00BD663A" w:rsidRPr="4A4F46FD">
        <w:rPr>
          <w:rFonts w:asciiTheme="minorHAnsi" w:eastAsiaTheme="minorEastAsia" w:hAnsiTheme="minorHAnsi" w:cstheme="minorBidi"/>
          <w:b/>
          <w:bCs/>
          <w:color w:val="007373"/>
        </w:rPr>
        <w:t xml:space="preserve"> </w:t>
      </w:r>
      <w:r w:rsidR="00244307" w:rsidRPr="4A4F46FD">
        <w:rPr>
          <w:rFonts w:asciiTheme="minorHAnsi" w:eastAsiaTheme="minorEastAsia" w:hAnsiTheme="minorHAnsi" w:cstheme="minorBidi"/>
          <w:b/>
          <w:bCs/>
          <w:color w:val="007373"/>
        </w:rPr>
        <w:t>Discretionary</w:t>
      </w:r>
      <w:r w:rsidR="00D73333" w:rsidRPr="4A4F46FD">
        <w:rPr>
          <w:rFonts w:asciiTheme="minorHAnsi" w:eastAsiaTheme="minorEastAsia" w:hAnsiTheme="minorHAnsi" w:cstheme="minorBidi"/>
          <w:b/>
          <w:bCs/>
          <w:color w:val="007373"/>
        </w:rPr>
        <w:t xml:space="preserve"> Exceptional Circumstances</w:t>
      </w:r>
      <w:r w:rsidR="00244307" w:rsidRPr="4A4F46FD">
        <w:rPr>
          <w:rFonts w:asciiTheme="minorHAnsi" w:eastAsiaTheme="minorEastAsia" w:hAnsiTheme="minorHAnsi" w:cstheme="minorBidi"/>
          <w:b/>
          <w:bCs/>
          <w:color w:val="007373"/>
        </w:rPr>
        <w:t xml:space="preserve"> Relief Policy</w:t>
      </w:r>
    </w:p>
    <w:tbl>
      <w:tblPr>
        <w:tblStyle w:val="TableGrid"/>
        <w:tblW w:w="9440"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40"/>
      </w:tblGrid>
      <w:tr w:rsidR="00536CEE" w14:paraId="08D1C90D" w14:textId="77777777" w:rsidTr="4A4F46FD">
        <w:tc>
          <w:tcPr>
            <w:tcW w:w="9440" w:type="dxa"/>
          </w:tcPr>
          <w:p w14:paraId="5E87DC16" w14:textId="23E8BD83" w:rsidR="006D3121" w:rsidRPr="00936803" w:rsidRDefault="006D3121" w:rsidP="4A4F46FD">
            <w:pPr>
              <w:rPr>
                <w:rFonts w:asciiTheme="minorHAnsi" w:eastAsiaTheme="minorEastAsia" w:hAnsiTheme="minorHAnsi" w:cstheme="minorBidi"/>
                <w:b/>
                <w:bCs/>
                <w:color w:val="008080"/>
                <w:lang w:val="en"/>
              </w:rPr>
            </w:pPr>
            <w:r w:rsidRPr="00936803">
              <w:rPr>
                <w:rFonts w:ascii="Calibri" w:hAnsi="Calibri"/>
                <w:b/>
                <w:noProof/>
                <w:color w:val="008080"/>
                <w:lang w:eastAsia="en-GB"/>
              </w:rPr>
              <w:drawing>
                <wp:anchor distT="0" distB="0" distL="114300" distR="114300" simplePos="0" relativeHeight="251658240" behindDoc="0" locked="0" layoutInCell="1" allowOverlap="1" wp14:anchorId="62DA3EDE" wp14:editId="2DB315C3">
                  <wp:simplePos x="0" y="0"/>
                  <wp:positionH relativeFrom="column">
                    <wp:posOffset>4819650</wp:posOffset>
                  </wp:positionH>
                  <wp:positionV relativeFrom="paragraph">
                    <wp:posOffset>7620</wp:posOffset>
                  </wp:positionV>
                  <wp:extent cx="836295" cy="1126490"/>
                  <wp:effectExtent l="0" t="0" r="1905" b="0"/>
                  <wp:wrapSquare wrapText="bothSides"/>
                  <wp:docPr id="5" name="Picture 5" descr="OxfordCityCouncil_Black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fordCityCouncil_BlackTranspar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295" cy="1126490"/>
                          </a:xfrm>
                          <a:prstGeom prst="rect">
                            <a:avLst/>
                          </a:prstGeom>
                          <a:noFill/>
                          <a:ln>
                            <a:noFill/>
                          </a:ln>
                        </pic:spPr>
                      </pic:pic>
                    </a:graphicData>
                  </a:graphic>
                </wp:anchor>
              </w:drawing>
            </w:r>
            <w:r w:rsidR="710808FD" w:rsidRPr="4A4F46FD">
              <w:rPr>
                <w:rFonts w:asciiTheme="minorHAnsi" w:eastAsiaTheme="minorEastAsia" w:hAnsiTheme="minorHAnsi" w:cstheme="minorBidi"/>
                <w:b/>
                <w:bCs/>
                <w:color w:val="008080"/>
                <w:lang w:val="en"/>
              </w:rPr>
              <w:t xml:space="preserve">Community Infrastructure Levy </w:t>
            </w:r>
          </w:p>
          <w:p w14:paraId="732FFC64" w14:textId="227CAC3F" w:rsidR="00536CEE" w:rsidRPr="00936803" w:rsidRDefault="710808FD" w:rsidP="4A4F46FD">
            <w:pPr>
              <w:rPr>
                <w:rFonts w:asciiTheme="minorHAnsi" w:eastAsiaTheme="minorEastAsia" w:hAnsiTheme="minorHAnsi" w:cstheme="minorBidi"/>
                <w:b/>
                <w:bCs/>
                <w:color w:val="008080"/>
              </w:rPr>
            </w:pPr>
            <w:r w:rsidRPr="4A4F46FD">
              <w:rPr>
                <w:rFonts w:asciiTheme="minorHAnsi" w:eastAsiaTheme="minorEastAsia" w:hAnsiTheme="minorHAnsi" w:cstheme="minorBidi"/>
                <w:b/>
                <w:bCs/>
                <w:color w:val="008080"/>
                <w:lang w:val="en"/>
              </w:rPr>
              <w:t>Discretionary Exceptional Circumstances Relief Policy</w:t>
            </w:r>
            <w:r w:rsidR="3F98C32A" w:rsidRPr="4A4F46FD">
              <w:rPr>
                <w:rFonts w:asciiTheme="minorHAnsi" w:eastAsiaTheme="minorEastAsia" w:hAnsiTheme="minorHAnsi" w:cstheme="minorBidi"/>
                <w:b/>
                <w:bCs/>
                <w:color w:val="008080"/>
              </w:rPr>
              <w:t xml:space="preserve"> </w:t>
            </w:r>
          </w:p>
          <w:p w14:paraId="12F27A72" w14:textId="77777777" w:rsidR="00536CEE" w:rsidRPr="00F2054F" w:rsidRDefault="00536CEE" w:rsidP="4A4F46FD">
            <w:pPr>
              <w:rPr>
                <w:rFonts w:asciiTheme="minorHAnsi" w:eastAsiaTheme="minorEastAsia" w:hAnsiTheme="minorHAnsi" w:cstheme="minorBidi"/>
              </w:rPr>
            </w:pPr>
          </w:p>
          <w:p w14:paraId="23FD0C95" w14:textId="77777777" w:rsidR="006D3121" w:rsidRDefault="006D3121" w:rsidP="4A4F46FD">
            <w:pPr>
              <w:rPr>
                <w:rFonts w:asciiTheme="minorHAnsi" w:eastAsiaTheme="minorEastAsia" w:hAnsiTheme="minorHAnsi" w:cstheme="minorBidi"/>
              </w:rPr>
            </w:pPr>
          </w:p>
          <w:p w14:paraId="35435703" w14:textId="77777777" w:rsidR="006D3121" w:rsidRDefault="006D3121" w:rsidP="4A4F46FD">
            <w:pPr>
              <w:rPr>
                <w:rFonts w:asciiTheme="minorHAnsi" w:eastAsiaTheme="minorEastAsia" w:hAnsiTheme="minorHAnsi" w:cstheme="minorBidi"/>
              </w:rPr>
            </w:pPr>
          </w:p>
          <w:p w14:paraId="04BED7FB" w14:textId="77777777" w:rsidR="006D3121" w:rsidRDefault="006D3121" w:rsidP="4A4F46FD">
            <w:pPr>
              <w:rPr>
                <w:rFonts w:asciiTheme="minorHAnsi" w:eastAsiaTheme="minorEastAsia" w:hAnsiTheme="minorHAnsi" w:cstheme="minorBidi"/>
              </w:rPr>
            </w:pPr>
          </w:p>
          <w:p w14:paraId="7B503377" w14:textId="27109A24"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Oxford City Council has determined to make relief for exceptional circumstances available, in accordance with Regulations 55</w:t>
            </w:r>
            <w:r w:rsidR="1D99D45D" w:rsidRPr="4A4F46FD">
              <w:rPr>
                <w:rFonts w:asciiTheme="minorHAnsi" w:eastAsiaTheme="minorEastAsia" w:hAnsiTheme="minorHAnsi" w:cstheme="minorBidi"/>
              </w:rPr>
              <w:t>-57</w:t>
            </w:r>
            <w:r w:rsidRPr="4A4F46FD">
              <w:rPr>
                <w:rFonts w:asciiTheme="minorHAnsi" w:eastAsiaTheme="minorEastAsia" w:hAnsiTheme="minorHAnsi" w:cstheme="minorBidi"/>
              </w:rPr>
              <w:t xml:space="preserve"> of the Community Infrastructure Levy Regulations 2010 (as amended). </w:t>
            </w:r>
          </w:p>
          <w:p w14:paraId="4ED34415" w14:textId="77777777" w:rsidR="00536CEE" w:rsidRPr="00F2054F" w:rsidRDefault="00536CEE" w:rsidP="4A4F46FD">
            <w:pPr>
              <w:rPr>
                <w:rFonts w:asciiTheme="minorHAnsi" w:eastAsiaTheme="minorEastAsia" w:hAnsiTheme="minorHAnsi" w:cstheme="minorBidi"/>
              </w:rPr>
            </w:pPr>
          </w:p>
          <w:p w14:paraId="19E7AA2E"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This Relief is discretionary and will be introduced from 1st June 2019 until further notice. </w:t>
            </w:r>
          </w:p>
          <w:p w14:paraId="6778644D" w14:textId="77777777" w:rsidR="00536CEE" w:rsidRPr="00F2054F" w:rsidRDefault="00536CEE" w:rsidP="4A4F46FD">
            <w:pPr>
              <w:rPr>
                <w:rFonts w:asciiTheme="minorHAnsi" w:eastAsiaTheme="minorEastAsia" w:hAnsiTheme="minorHAnsi" w:cstheme="minorBidi"/>
              </w:rPr>
            </w:pPr>
          </w:p>
          <w:p w14:paraId="10ACC3A7"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Oxford City Council will consider each application received individually and will at its own discretion decide whether to grant relief or not. Regulation 56 allows for the withdrawal of this relief at any time. </w:t>
            </w:r>
          </w:p>
          <w:p w14:paraId="4EDAA3CD" w14:textId="77777777" w:rsidR="00536CEE" w:rsidRPr="00F2054F" w:rsidRDefault="00536CEE" w:rsidP="4A4F46FD">
            <w:pPr>
              <w:rPr>
                <w:rFonts w:asciiTheme="minorHAnsi" w:eastAsiaTheme="minorEastAsia" w:hAnsiTheme="minorHAnsi" w:cstheme="minorBidi"/>
              </w:rPr>
            </w:pPr>
          </w:p>
          <w:p w14:paraId="34CAC9EA"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Discretionary relief for exceptional circumstances must be claimed for and approved prior to the commencement of the chargeable development. This note is not intended to be a definitive interpretation of the legislation or CIL Regulations and applicants are advised to seek professional advice as appropriate. </w:t>
            </w:r>
          </w:p>
          <w:p w14:paraId="62B0D2B3" w14:textId="77777777" w:rsidR="00536CEE" w:rsidRPr="00F2054F" w:rsidRDefault="00536CEE" w:rsidP="4A4F46FD">
            <w:pPr>
              <w:rPr>
                <w:rFonts w:asciiTheme="minorHAnsi" w:eastAsiaTheme="minorEastAsia" w:hAnsiTheme="minorHAnsi" w:cstheme="minorBidi"/>
              </w:rPr>
            </w:pPr>
          </w:p>
          <w:p w14:paraId="348FFBD0" w14:textId="77777777" w:rsidR="00536CEE" w:rsidRPr="00936803" w:rsidRDefault="3F98C32A" w:rsidP="4A4F46FD">
            <w:pPr>
              <w:rPr>
                <w:rFonts w:asciiTheme="minorHAnsi" w:eastAsiaTheme="minorEastAsia" w:hAnsiTheme="minorHAnsi" w:cstheme="minorBidi"/>
                <w:color w:val="008080"/>
              </w:rPr>
            </w:pPr>
            <w:r w:rsidRPr="4A4F46FD">
              <w:rPr>
                <w:rFonts w:asciiTheme="minorHAnsi" w:eastAsiaTheme="minorEastAsia" w:hAnsiTheme="minorHAnsi" w:cstheme="minorBidi"/>
                <w:b/>
                <w:bCs/>
                <w:color w:val="008080"/>
              </w:rPr>
              <w:t>Process for exceptional circumstances relief</w:t>
            </w:r>
          </w:p>
          <w:p w14:paraId="12BC2BCA" w14:textId="245B590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Exceptional circumstances relief can be applied for after planning permission has been granted but before development commences. Anyone wishing to claim exceptional circumstances relief must do so by following the procedures set out in Regulation 57 of the CIL Regulations 2010 (as amended) </w:t>
            </w:r>
            <w:hyperlink r:id="rId27">
              <w:r w:rsidRPr="4A4F46FD">
                <w:rPr>
                  <w:rStyle w:val="Hyperlink"/>
                  <w:rFonts w:asciiTheme="minorHAnsi" w:eastAsiaTheme="minorEastAsia" w:hAnsiTheme="minorHAnsi" w:cstheme="minorBidi"/>
                </w:rPr>
                <w:t>https://www.legislation.gov.uk/ukdsi/2010/9780111492390/regulation/57</w:t>
              </w:r>
            </w:hyperlink>
          </w:p>
          <w:p w14:paraId="10812B52" w14:textId="77777777" w:rsidR="00536CEE" w:rsidRPr="00F2054F" w:rsidRDefault="00536CEE" w:rsidP="4A4F46FD">
            <w:pPr>
              <w:rPr>
                <w:rFonts w:asciiTheme="minorHAnsi" w:eastAsiaTheme="minorEastAsia" w:hAnsiTheme="minorHAnsi" w:cstheme="minorBidi"/>
              </w:rPr>
            </w:pPr>
          </w:p>
          <w:p w14:paraId="4667B24B" w14:textId="23A7A899"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In order to qualify for the relief, the following criteria must apply: </w:t>
            </w:r>
          </w:p>
          <w:p w14:paraId="132FC85B" w14:textId="108C6C7E"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 </w:t>
            </w:r>
            <w:r w:rsidR="4D8F07EB" w:rsidRPr="4A4F46FD">
              <w:rPr>
                <w:rFonts w:asciiTheme="minorHAnsi" w:eastAsiaTheme="minorEastAsia" w:hAnsiTheme="minorHAnsi" w:cstheme="minorBidi"/>
              </w:rPr>
              <w:t>planning obligation</w:t>
            </w:r>
            <w:r w:rsidRPr="4A4F46FD">
              <w:rPr>
                <w:rFonts w:asciiTheme="minorHAnsi" w:eastAsiaTheme="minorEastAsia" w:hAnsiTheme="minorHAnsi" w:cstheme="minorBidi"/>
              </w:rPr>
              <w:t xml:space="preserve"> has been entered into in respect of the planning permission which permits the chargeable development; and Oxford City Council considers that: </w:t>
            </w:r>
          </w:p>
          <w:p w14:paraId="720194B2" w14:textId="67B31722"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requiring payment of the Community Infrastructure Levy charged by the Council would have an unacceptable impact on the economic viability of the chargeable development</w:t>
            </w:r>
          </w:p>
          <w:p w14:paraId="04773391" w14:textId="1ADE4F2D" w:rsidR="61A814DC" w:rsidRDefault="61A814DC" w:rsidP="4A4F46FD">
            <w:pPr>
              <w:rPr>
                <w:rFonts w:asciiTheme="minorHAnsi" w:eastAsiaTheme="minorEastAsia" w:hAnsiTheme="minorHAnsi" w:cstheme="minorBidi"/>
              </w:rPr>
            </w:pPr>
          </w:p>
          <w:p w14:paraId="41B26687"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The application must be accompanied by: </w:t>
            </w:r>
          </w:p>
          <w:p w14:paraId="7414183D"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an assessment carried out by an independent person of the cost of complying with the planning obligation mentioned in Regulation 55(3)(b); </w:t>
            </w:r>
          </w:p>
          <w:p w14:paraId="41F2DC23" w14:textId="77777777" w:rsidR="00536CEE" w:rsidRPr="00F2054F"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an assessment carried out by an independent person of the economic viability of the chargeable development; </w:t>
            </w:r>
          </w:p>
          <w:p w14:paraId="1CF40DD9"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an explanation of why in the opinion of the claimant, payment of the chargeable amount would have an unacceptable impact on the economic viability of that development; </w:t>
            </w:r>
          </w:p>
          <w:p w14:paraId="59C3FD38"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an apportionment assessment where there is more than material interest in the land; and </w:t>
            </w:r>
          </w:p>
          <w:p w14:paraId="4ED640CF"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 a declaration that the claimant has complied with paragraph 6 of Regulation 57. </w:t>
            </w:r>
          </w:p>
          <w:p w14:paraId="0C811B85" w14:textId="77777777" w:rsidR="00536CEE" w:rsidRDefault="00536CEE" w:rsidP="4A4F46FD">
            <w:pPr>
              <w:rPr>
                <w:rFonts w:asciiTheme="minorHAnsi" w:eastAsiaTheme="minorEastAsia" w:hAnsiTheme="minorHAnsi" w:cstheme="minorBidi"/>
              </w:rPr>
            </w:pPr>
          </w:p>
          <w:p w14:paraId="50097A62"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As set out in the regulations an independent person is a person who is appointed by the claimant with the agreement of the charging authority; and has appropriate qualifications and experience. Subject to the requirements of the Community Infrastructure Levy Regulations 2010 (as amended), Oxford City Council will decide the amount of any relief to be granted in individual cases. The development must also commence within 12 months of any relief being granted. </w:t>
            </w:r>
          </w:p>
          <w:p w14:paraId="16A8DCDE" w14:textId="77777777" w:rsidR="00536CEE" w:rsidRDefault="00536CEE" w:rsidP="4A4F46FD">
            <w:pPr>
              <w:rPr>
                <w:rFonts w:asciiTheme="minorHAnsi" w:eastAsiaTheme="minorEastAsia" w:hAnsiTheme="minorHAnsi" w:cstheme="minorBidi"/>
              </w:rPr>
            </w:pPr>
          </w:p>
          <w:p w14:paraId="672DED43"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For further information about making a claim for discretionary relief for exceptional circumstances please see Regulations 55 and 57 of the Community Infrastructure Levy 2010 (as amended). </w:t>
            </w:r>
          </w:p>
          <w:p w14:paraId="67F42184" w14:textId="77777777" w:rsidR="00536CEE" w:rsidRDefault="00536CEE" w:rsidP="4A4F46FD">
            <w:pPr>
              <w:rPr>
                <w:rFonts w:asciiTheme="minorHAnsi" w:eastAsiaTheme="minorEastAsia" w:hAnsiTheme="minorHAnsi" w:cstheme="minorBidi"/>
              </w:rPr>
            </w:pPr>
          </w:p>
          <w:p w14:paraId="1BB6C0AA"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The onus is on the applicant to demonstrate they qualify for this relief and appropriate evidence must be submitted with any application. It should be noted that Oxford City Council has undertaken viability assessments on various types of development to verify the level at which the CIL charges have been set, therefore, any applications received under this regulation are expected to be genuinely exceptional. </w:t>
            </w:r>
          </w:p>
          <w:p w14:paraId="4D09E8F6" w14:textId="77777777" w:rsidR="00536CEE" w:rsidRDefault="00536CEE" w:rsidP="4A4F46FD">
            <w:pPr>
              <w:rPr>
                <w:rFonts w:asciiTheme="minorHAnsi" w:eastAsiaTheme="minorEastAsia" w:hAnsiTheme="minorHAnsi" w:cstheme="minorBidi"/>
              </w:rPr>
            </w:pPr>
          </w:p>
          <w:p w14:paraId="103B0FD8" w14:textId="77777777" w:rsidR="00536CEE" w:rsidRPr="00936803" w:rsidRDefault="3F98C32A" w:rsidP="4A4F46FD">
            <w:pPr>
              <w:rPr>
                <w:rFonts w:asciiTheme="minorHAnsi" w:eastAsiaTheme="minorEastAsia" w:hAnsiTheme="minorHAnsi" w:cstheme="minorBidi"/>
                <w:b/>
                <w:bCs/>
                <w:color w:val="008080"/>
              </w:rPr>
            </w:pPr>
            <w:r w:rsidRPr="4A4F46FD">
              <w:rPr>
                <w:rFonts w:asciiTheme="minorHAnsi" w:eastAsiaTheme="minorEastAsia" w:hAnsiTheme="minorHAnsi" w:cstheme="minorBidi"/>
                <w:b/>
                <w:bCs/>
                <w:color w:val="008080"/>
              </w:rPr>
              <w:t xml:space="preserve">Timescales </w:t>
            </w:r>
          </w:p>
          <w:p w14:paraId="44DB8937" w14:textId="77777777"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Decisions under this policy will be subject to a cabinet decision. </w:t>
            </w:r>
          </w:p>
          <w:p w14:paraId="352BE237" w14:textId="77777777" w:rsidR="00536CEE" w:rsidRDefault="00536CEE" w:rsidP="4A4F46FD">
            <w:pPr>
              <w:rPr>
                <w:rFonts w:asciiTheme="minorHAnsi" w:eastAsiaTheme="minorEastAsia" w:hAnsiTheme="minorHAnsi" w:cstheme="minorBidi"/>
              </w:rPr>
            </w:pPr>
          </w:p>
          <w:p w14:paraId="2742F8A3" w14:textId="77777777" w:rsidR="00262F7C"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The Council will notify the applicant as soon a practicable after receiving the claim for relief in writing of its decision on the claim. </w:t>
            </w:r>
          </w:p>
          <w:p w14:paraId="4797C9E5" w14:textId="77777777" w:rsidR="00262F7C" w:rsidRDefault="00262F7C" w:rsidP="4A4F46FD">
            <w:pPr>
              <w:rPr>
                <w:rFonts w:asciiTheme="minorHAnsi" w:eastAsiaTheme="minorEastAsia" w:hAnsiTheme="minorHAnsi" w:cstheme="minorBidi"/>
              </w:rPr>
            </w:pPr>
          </w:p>
          <w:p w14:paraId="37CB5897" w14:textId="77777777" w:rsidR="00262F7C"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A claim for relief will lapse if the development commences prior to the Council notifying the applicant of its decision. </w:t>
            </w:r>
          </w:p>
          <w:p w14:paraId="4DDBB578" w14:textId="77777777" w:rsidR="00262F7C" w:rsidRDefault="00262F7C" w:rsidP="4A4F46FD">
            <w:pPr>
              <w:rPr>
                <w:rFonts w:asciiTheme="minorHAnsi" w:eastAsiaTheme="minorEastAsia" w:hAnsiTheme="minorHAnsi" w:cstheme="minorBidi"/>
              </w:rPr>
            </w:pPr>
          </w:p>
          <w:p w14:paraId="6CD1324F" w14:textId="77777777" w:rsidR="00262F7C" w:rsidRPr="00936803" w:rsidRDefault="3F98C32A" w:rsidP="4A4F46FD">
            <w:pPr>
              <w:rPr>
                <w:rFonts w:asciiTheme="minorHAnsi" w:eastAsiaTheme="minorEastAsia" w:hAnsiTheme="minorHAnsi" w:cstheme="minorBidi"/>
                <w:color w:val="008080"/>
              </w:rPr>
            </w:pPr>
            <w:r w:rsidRPr="4A4F46FD">
              <w:rPr>
                <w:rFonts w:asciiTheme="minorHAnsi" w:eastAsiaTheme="minorEastAsia" w:hAnsiTheme="minorHAnsi" w:cstheme="minorBidi"/>
                <w:b/>
                <w:bCs/>
                <w:color w:val="008080"/>
              </w:rPr>
              <w:t>Disqualifying events</w:t>
            </w:r>
            <w:r w:rsidRPr="4A4F46FD">
              <w:rPr>
                <w:rFonts w:asciiTheme="minorHAnsi" w:eastAsiaTheme="minorEastAsia" w:hAnsiTheme="minorHAnsi" w:cstheme="minorBidi"/>
                <w:color w:val="008080"/>
              </w:rPr>
              <w:t xml:space="preserve"> </w:t>
            </w:r>
          </w:p>
          <w:p w14:paraId="513DB0FC" w14:textId="77777777" w:rsidR="00262F7C" w:rsidRDefault="00262F7C" w:rsidP="4A4F46FD">
            <w:pPr>
              <w:rPr>
                <w:rFonts w:asciiTheme="minorHAnsi" w:eastAsiaTheme="minorEastAsia" w:hAnsiTheme="minorHAnsi" w:cstheme="minorBidi"/>
              </w:rPr>
            </w:pPr>
          </w:p>
          <w:p w14:paraId="64F18A4B" w14:textId="77777777" w:rsidR="006D3121"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 xml:space="preserve">The Council must be notified in writing within 14 days of a disqualifying event and the full chargeable amount will become payable. Failure to do so will amount in a surcharge equal to 20% of the chargeable amount or £2,500, whichever is the lesser being applied to the payable amount. </w:t>
            </w:r>
          </w:p>
          <w:p w14:paraId="10E4511E" w14:textId="77777777" w:rsidR="006D3121" w:rsidRDefault="006D3121" w:rsidP="4A4F46FD">
            <w:pPr>
              <w:rPr>
                <w:rFonts w:asciiTheme="minorHAnsi" w:eastAsiaTheme="minorEastAsia" w:hAnsiTheme="minorHAnsi" w:cstheme="minorBidi"/>
              </w:rPr>
            </w:pPr>
          </w:p>
          <w:p w14:paraId="6F922CA6" w14:textId="1552E836" w:rsidR="00536CEE" w:rsidRDefault="3F98C32A" w:rsidP="4A4F46FD">
            <w:pPr>
              <w:rPr>
                <w:rFonts w:asciiTheme="minorHAnsi" w:eastAsiaTheme="minorEastAsia" w:hAnsiTheme="minorHAnsi" w:cstheme="minorBidi"/>
              </w:rPr>
            </w:pPr>
            <w:r w:rsidRPr="4A4F46FD">
              <w:rPr>
                <w:rFonts w:asciiTheme="minorHAnsi" w:eastAsiaTheme="minorEastAsia" w:hAnsiTheme="minorHAnsi" w:cstheme="minorBidi"/>
              </w:rPr>
              <w:t>Disqualifying events (within a 7</w:t>
            </w:r>
            <w:r w:rsidR="710808FD" w:rsidRPr="4A4F46FD">
              <w:rPr>
                <w:rFonts w:asciiTheme="minorHAnsi" w:eastAsiaTheme="minorEastAsia" w:hAnsiTheme="minorHAnsi" w:cstheme="minorBidi"/>
              </w:rPr>
              <w:t>-</w:t>
            </w:r>
            <w:r w:rsidRPr="4A4F46FD">
              <w:rPr>
                <w:rFonts w:asciiTheme="minorHAnsi" w:eastAsiaTheme="minorEastAsia" w:hAnsiTheme="minorHAnsi" w:cstheme="minorBidi"/>
              </w:rPr>
              <w:t xml:space="preserve">year period from commencement) include: </w:t>
            </w:r>
          </w:p>
          <w:p w14:paraId="611144FC" w14:textId="77777777" w:rsidR="000C1CA3" w:rsidRDefault="000C1CA3" w:rsidP="4A4F46FD">
            <w:pPr>
              <w:rPr>
                <w:rFonts w:asciiTheme="minorHAnsi" w:eastAsiaTheme="minorEastAsia" w:hAnsiTheme="minorHAnsi" w:cstheme="minorBidi"/>
              </w:rPr>
            </w:pPr>
          </w:p>
          <w:p w14:paraId="28B984A3" w14:textId="2FD9E974" w:rsidR="00536CEE" w:rsidRDefault="0BFFB71F" w:rsidP="4A4F46FD">
            <w:pPr>
              <w:rPr>
                <w:rFonts w:asciiTheme="minorHAnsi" w:eastAsiaTheme="minorEastAsia" w:hAnsiTheme="minorHAnsi" w:cstheme="minorBidi"/>
              </w:rPr>
            </w:pPr>
            <w:r w:rsidRPr="48DD66B0">
              <w:rPr>
                <w:rFonts w:asciiTheme="minorHAnsi" w:eastAsiaTheme="minorEastAsia" w:hAnsiTheme="minorHAnsi" w:cstheme="minorBidi"/>
              </w:rPr>
              <w:t>(a) Before the chargeable development is commenced—</w:t>
            </w:r>
          </w:p>
          <w:p w14:paraId="799F03C6" w14:textId="1161A424" w:rsidR="00536CEE" w:rsidRDefault="0BFFB71F" w:rsidP="4A4F46FD">
            <w:r w:rsidRPr="4A4F46FD">
              <w:rPr>
                <w:rFonts w:asciiTheme="minorHAnsi" w:eastAsiaTheme="minorEastAsia" w:hAnsiTheme="minorHAnsi" w:cstheme="minorBidi"/>
              </w:rPr>
              <w:t xml:space="preserve">(i) Charitable or social housing relief </w:t>
            </w:r>
            <w:r w:rsidRPr="48DD66B0">
              <w:rPr>
                <w:rFonts w:asciiTheme="minorHAnsi" w:eastAsiaTheme="minorEastAsia" w:hAnsiTheme="minorHAnsi" w:cstheme="minorBidi"/>
              </w:rPr>
              <w:t>(or</w:t>
            </w:r>
            <w:r w:rsidRPr="4A4F46FD">
              <w:rPr>
                <w:rFonts w:asciiTheme="minorHAnsi" w:eastAsiaTheme="minorEastAsia" w:hAnsiTheme="minorHAnsi" w:cstheme="minorBidi"/>
              </w:rPr>
              <w:t xml:space="preserve"> an exemption for self-build housing or residential annexes or extensions</w:t>
            </w:r>
            <w:r w:rsidRPr="48DD66B0">
              <w:rPr>
                <w:rFonts w:asciiTheme="minorHAnsi" w:eastAsiaTheme="minorEastAsia" w:hAnsiTheme="minorHAnsi" w:cstheme="minorBidi"/>
              </w:rPr>
              <w:t>)</w:t>
            </w:r>
            <w:r w:rsidRPr="4A4F46FD">
              <w:rPr>
                <w:rFonts w:asciiTheme="minorHAnsi" w:eastAsiaTheme="minorEastAsia" w:hAnsiTheme="minorHAnsi" w:cstheme="minorBidi"/>
              </w:rPr>
              <w:t xml:space="preserve"> is granted in respect of the chargeable development, or</w:t>
            </w:r>
          </w:p>
          <w:p w14:paraId="062A99BD" w14:textId="4B3C05E1" w:rsidR="00536CEE" w:rsidRDefault="0BFFB71F" w:rsidP="4A4F46FD">
            <w:pPr>
              <w:rPr>
                <w:rFonts w:asciiTheme="minorHAnsi" w:eastAsiaTheme="minorEastAsia" w:hAnsiTheme="minorHAnsi" w:cstheme="minorBidi"/>
              </w:rPr>
            </w:pPr>
            <w:r w:rsidRPr="4A4F46FD">
              <w:rPr>
                <w:rFonts w:asciiTheme="minorHAnsi" w:eastAsiaTheme="minorEastAsia" w:hAnsiTheme="minorHAnsi" w:cstheme="minorBidi"/>
              </w:rPr>
              <w:t>(ii) An owner of a material interest in the relevant land makes a material disposal of that interest; or</w:t>
            </w:r>
          </w:p>
          <w:p w14:paraId="179921BC" w14:textId="53F007FA" w:rsidR="00536CEE" w:rsidRDefault="0BFFB71F" w:rsidP="4A4F46FD">
            <w:r w:rsidRPr="48DD66B0">
              <w:rPr>
                <w:rFonts w:asciiTheme="minorHAnsi" w:eastAsiaTheme="minorEastAsia" w:hAnsiTheme="minorHAnsi" w:cstheme="minorBidi"/>
              </w:rPr>
              <w:t>(b)</w:t>
            </w:r>
            <w:r w:rsidRPr="4A4F46FD">
              <w:rPr>
                <w:rFonts w:asciiTheme="minorHAnsi" w:eastAsiaTheme="minorEastAsia" w:hAnsiTheme="minorHAnsi" w:cstheme="minorBidi"/>
              </w:rPr>
              <w:t xml:space="preserve"> At the end of the period of 12 months beginning with the day on which the charging authority issues its decision on the claim, the chargeable development has not been commenced.</w:t>
            </w:r>
          </w:p>
          <w:p w14:paraId="2EFF078F" w14:textId="556B94BA" w:rsidR="00536CEE" w:rsidRDefault="00536CEE" w:rsidP="4A4F46FD">
            <w:pPr>
              <w:rPr>
                <w:rFonts w:asciiTheme="minorHAnsi" w:eastAsiaTheme="minorEastAsia" w:hAnsiTheme="minorHAnsi" w:cstheme="minorBidi"/>
              </w:rPr>
            </w:pPr>
          </w:p>
        </w:tc>
      </w:tr>
    </w:tbl>
    <w:p w14:paraId="5D3975ED" w14:textId="0342D334" w:rsidR="00F11BBD" w:rsidRPr="007312C3" w:rsidRDefault="00F11BBD" w:rsidP="4A4F46FD">
      <w:pPr>
        <w:rPr>
          <w:rFonts w:asciiTheme="minorHAnsi" w:eastAsiaTheme="minorEastAsia" w:hAnsiTheme="minorHAnsi" w:cstheme="minorBidi"/>
        </w:rPr>
      </w:pPr>
    </w:p>
    <w:sectPr w:rsidR="00F11BBD" w:rsidRPr="007312C3" w:rsidSect="00711F38">
      <w:headerReference w:type="default" r:id="rId28"/>
      <w:headerReference w:type="first" r:id="rId29"/>
      <w:footerReference w:type="first" r:id="rId30"/>
      <w:pgSz w:w="11906" w:h="16838"/>
      <w:pgMar w:top="1440" w:right="1106" w:bottom="1134" w:left="1620" w:header="708" w:footer="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9C493" w14:textId="77777777" w:rsidR="00ED7CF0" w:rsidRDefault="00ED7CF0">
      <w:r>
        <w:separator/>
      </w:r>
    </w:p>
  </w:endnote>
  <w:endnote w:type="continuationSeparator" w:id="0">
    <w:p w14:paraId="0E12F960" w14:textId="77777777" w:rsidR="00ED7CF0" w:rsidRDefault="00ED7CF0">
      <w:r>
        <w:continuationSeparator/>
      </w:r>
    </w:p>
  </w:endnote>
  <w:endnote w:type="continuationNotice" w:id="1">
    <w:p w14:paraId="5048BDD9" w14:textId="77777777" w:rsidR="00ED7CF0" w:rsidRDefault="00ED7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Bookshelf Symbol 3"/>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Arial">
    <w:panose1 w:val="00000000000000000000"/>
    <w:charset w:val="00"/>
    <w:family w:val="roman"/>
    <w:notTrueType/>
    <w:pitch w:val="default"/>
  </w:font>
  <w:font w:name="TimesNew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8121" w14:textId="6D0472F4" w:rsidR="00427A1C" w:rsidRDefault="00427A1C" w:rsidP="006D3F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1F38">
      <w:rPr>
        <w:rStyle w:val="PageNumber"/>
        <w:noProof/>
      </w:rPr>
      <w:t>17</w:t>
    </w:r>
    <w:r>
      <w:rPr>
        <w:rStyle w:val="PageNumber"/>
      </w:rPr>
      <w:fldChar w:fldCharType="end"/>
    </w:r>
  </w:p>
  <w:p w14:paraId="187F57B8" w14:textId="77777777" w:rsidR="00427A1C" w:rsidRDefault="00427A1C" w:rsidP="006D3F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322F8" w14:textId="77777777" w:rsidR="00427A1C" w:rsidRPr="006D3F72" w:rsidRDefault="00427A1C" w:rsidP="006D3F72">
    <w:pPr>
      <w:pStyle w:val="Footer"/>
      <w:framePr w:wrap="around" w:vAnchor="text" w:hAnchor="page" w:x="10078" w:y="-520"/>
      <w:rPr>
        <w:rStyle w:val="PageNumber"/>
        <w:rFonts w:ascii="Calibri" w:hAnsi="Calibri"/>
        <w:b/>
        <w:sz w:val="22"/>
        <w:szCs w:val="22"/>
      </w:rPr>
    </w:pPr>
    <w:r w:rsidRPr="006D3F72">
      <w:rPr>
        <w:rStyle w:val="PageNumber"/>
        <w:rFonts w:ascii="Calibri" w:hAnsi="Calibri"/>
        <w:b/>
        <w:sz w:val="22"/>
        <w:szCs w:val="22"/>
      </w:rPr>
      <w:fldChar w:fldCharType="begin"/>
    </w:r>
    <w:r w:rsidRPr="006D3F72">
      <w:rPr>
        <w:rStyle w:val="PageNumber"/>
        <w:rFonts w:ascii="Calibri" w:hAnsi="Calibri"/>
        <w:b/>
        <w:sz w:val="22"/>
        <w:szCs w:val="22"/>
      </w:rPr>
      <w:instrText xml:space="preserve">PAGE  </w:instrText>
    </w:r>
    <w:r w:rsidRPr="006D3F72">
      <w:rPr>
        <w:rStyle w:val="PageNumber"/>
        <w:rFonts w:ascii="Calibri" w:hAnsi="Calibri"/>
        <w:b/>
        <w:sz w:val="22"/>
        <w:szCs w:val="22"/>
      </w:rPr>
      <w:fldChar w:fldCharType="separate"/>
    </w:r>
    <w:r w:rsidR="00DD067D">
      <w:rPr>
        <w:rStyle w:val="PageNumber"/>
        <w:rFonts w:ascii="Calibri" w:hAnsi="Calibri"/>
        <w:b/>
        <w:noProof/>
        <w:sz w:val="22"/>
        <w:szCs w:val="22"/>
      </w:rPr>
      <w:t>2</w:t>
    </w:r>
    <w:r w:rsidRPr="006D3F72">
      <w:rPr>
        <w:rStyle w:val="PageNumber"/>
        <w:rFonts w:ascii="Calibri" w:hAnsi="Calibri"/>
        <w:b/>
        <w:sz w:val="22"/>
        <w:szCs w:val="22"/>
      </w:rPr>
      <w:fldChar w:fldCharType="end"/>
    </w:r>
  </w:p>
  <w:p w14:paraId="07F023C8" w14:textId="77777777" w:rsidR="00427A1C" w:rsidRDefault="00427A1C" w:rsidP="006D3F7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1054BD58" w14:paraId="040DFDBF" w14:textId="77777777" w:rsidTr="1054BD58">
      <w:trPr>
        <w:trHeight w:val="300"/>
      </w:trPr>
      <w:tc>
        <w:tcPr>
          <w:tcW w:w="3020" w:type="dxa"/>
        </w:tcPr>
        <w:p w14:paraId="5BB51B80" w14:textId="1011A5A0" w:rsidR="1054BD58" w:rsidRDefault="1054BD58" w:rsidP="1054BD58">
          <w:pPr>
            <w:pStyle w:val="Header"/>
            <w:ind w:left="-115"/>
          </w:pPr>
        </w:p>
      </w:tc>
      <w:tc>
        <w:tcPr>
          <w:tcW w:w="3020" w:type="dxa"/>
        </w:tcPr>
        <w:p w14:paraId="1696E3D8" w14:textId="524C6553" w:rsidR="1054BD58" w:rsidRDefault="1054BD58" w:rsidP="1054BD58">
          <w:pPr>
            <w:pStyle w:val="Header"/>
            <w:jc w:val="center"/>
          </w:pPr>
        </w:p>
      </w:tc>
      <w:tc>
        <w:tcPr>
          <w:tcW w:w="3020" w:type="dxa"/>
        </w:tcPr>
        <w:p w14:paraId="41ED8D36" w14:textId="3E6189EE" w:rsidR="1054BD58" w:rsidRDefault="1054BD58" w:rsidP="1054BD58">
          <w:pPr>
            <w:pStyle w:val="Header"/>
            <w:ind w:right="-115"/>
            <w:jc w:val="right"/>
          </w:pPr>
        </w:p>
      </w:tc>
    </w:tr>
  </w:tbl>
  <w:p w14:paraId="7CB3805E" w14:textId="178A750E" w:rsidR="00247B55" w:rsidRDefault="00247B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F3F37" w14:textId="77777777" w:rsidR="00A60415" w:rsidRPr="006D3F72" w:rsidRDefault="00A60415" w:rsidP="006D3F72">
    <w:pPr>
      <w:pStyle w:val="Footer"/>
      <w:framePr w:wrap="around" w:vAnchor="text" w:hAnchor="page" w:x="10078" w:y="-520"/>
      <w:rPr>
        <w:rStyle w:val="PageNumber"/>
        <w:rFonts w:ascii="Calibri" w:hAnsi="Calibri"/>
        <w:b/>
        <w:sz w:val="22"/>
        <w:szCs w:val="22"/>
      </w:rPr>
    </w:pPr>
    <w:r w:rsidRPr="006D3F72">
      <w:rPr>
        <w:rStyle w:val="PageNumber"/>
        <w:rFonts w:ascii="Calibri" w:hAnsi="Calibri"/>
        <w:b/>
        <w:sz w:val="22"/>
        <w:szCs w:val="22"/>
      </w:rPr>
      <w:fldChar w:fldCharType="begin"/>
    </w:r>
    <w:r w:rsidRPr="006D3F72">
      <w:rPr>
        <w:rStyle w:val="PageNumber"/>
        <w:rFonts w:ascii="Calibri" w:hAnsi="Calibri"/>
        <w:b/>
        <w:sz w:val="22"/>
        <w:szCs w:val="22"/>
      </w:rPr>
      <w:instrText xml:space="preserve">PAGE  </w:instrText>
    </w:r>
    <w:r w:rsidRPr="006D3F72">
      <w:rPr>
        <w:rStyle w:val="PageNumber"/>
        <w:rFonts w:ascii="Calibri" w:hAnsi="Calibri"/>
        <w:b/>
        <w:sz w:val="22"/>
        <w:szCs w:val="22"/>
      </w:rPr>
      <w:fldChar w:fldCharType="separate"/>
    </w:r>
    <w:r w:rsidR="00DD067D">
      <w:rPr>
        <w:rStyle w:val="PageNumber"/>
        <w:rFonts w:ascii="Calibri" w:hAnsi="Calibri"/>
        <w:b/>
        <w:noProof/>
        <w:sz w:val="22"/>
        <w:szCs w:val="22"/>
      </w:rPr>
      <w:t>19</w:t>
    </w:r>
    <w:r w:rsidRPr="006D3F72">
      <w:rPr>
        <w:rStyle w:val="PageNumber"/>
        <w:rFonts w:ascii="Calibri" w:hAnsi="Calibri"/>
        <w:b/>
        <w:sz w:val="22"/>
        <w:szCs w:val="22"/>
      </w:rPr>
      <w:fldChar w:fldCharType="end"/>
    </w:r>
  </w:p>
  <w:p w14:paraId="3948E5FD" w14:textId="77777777" w:rsidR="00A60415" w:rsidRDefault="00A60415" w:rsidP="006D3F7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60"/>
      <w:gridCol w:w="3060"/>
      <w:gridCol w:w="3060"/>
    </w:tblGrid>
    <w:tr w:rsidR="1054BD58" w14:paraId="64DFEBE4" w14:textId="77777777" w:rsidTr="1054BD58">
      <w:trPr>
        <w:trHeight w:val="300"/>
      </w:trPr>
      <w:tc>
        <w:tcPr>
          <w:tcW w:w="3060" w:type="dxa"/>
        </w:tcPr>
        <w:p w14:paraId="505EBEF2" w14:textId="07091568" w:rsidR="1054BD58" w:rsidRDefault="1054BD58" w:rsidP="1054BD58">
          <w:pPr>
            <w:pStyle w:val="Header"/>
            <w:ind w:left="-115"/>
          </w:pPr>
        </w:p>
      </w:tc>
      <w:tc>
        <w:tcPr>
          <w:tcW w:w="3060" w:type="dxa"/>
        </w:tcPr>
        <w:p w14:paraId="7C6DC7C8" w14:textId="620C8E03" w:rsidR="1054BD58" w:rsidRDefault="1054BD58" w:rsidP="1054BD58">
          <w:pPr>
            <w:pStyle w:val="Header"/>
            <w:jc w:val="center"/>
          </w:pPr>
        </w:p>
      </w:tc>
      <w:tc>
        <w:tcPr>
          <w:tcW w:w="3060" w:type="dxa"/>
        </w:tcPr>
        <w:p w14:paraId="08EEAE8F" w14:textId="06C0B748" w:rsidR="1054BD58" w:rsidRDefault="1054BD58" w:rsidP="1054BD58">
          <w:pPr>
            <w:pStyle w:val="Header"/>
            <w:ind w:right="-115"/>
            <w:jc w:val="right"/>
          </w:pPr>
        </w:p>
      </w:tc>
    </w:tr>
  </w:tbl>
  <w:p w14:paraId="34462EBB" w14:textId="5430EB1F" w:rsidR="00247B55" w:rsidRDefault="00247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3D808" w14:textId="77777777" w:rsidR="00ED7CF0" w:rsidRDefault="00ED7CF0">
      <w:r>
        <w:separator/>
      </w:r>
    </w:p>
  </w:footnote>
  <w:footnote w:type="continuationSeparator" w:id="0">
    <w:p w14:paraId="0101E27A" w14:textId="77777777" w:rsidR="00ED7CF0" w:rsidRDefault="00ED7CF0">
      <w:r>
        <w:continuationSeparator/>
      </w:r>
    </w:p>
  </w:footnote>
  <w:footnote w:type="continuationNotice" w:id="1">
    <w:p w14:paraId="5A1D0F21" w14:textId="77777777" w:rsidR="00ED7CF0" w:rsidRDefault="00ED7CF0"/>
  </w:footnote>
  <w:footnote w:id="2">
    <w:p w14:paraId="5057B135" w14:textId="77777777" w:rsidR="00427A1C" w:rsidRPr="003528BD" w:rsidRDefault="00427A1C" w:rsidP="00621B0F">
      <w:pPr>
        <w:pStyle w:val="FootnoteText"/>
        <w:rPr>
          <w:rFonts w:ascii="Calibri" w:hAnsi="Calibri" w:cs="Arial"/>
        </w:rPr>
      </w:pPr>
      <w:r w:rsidRPr="003528BD">
        <w:rPr>
          <w:rStyle w:val="FootnoteReference"/>
          <w:rFonts w:ascii="Calibri" w:hAnsi="Calibri" w:cs="Arial"/>
        </w:rPr>
        <w:footnoteRef/>
      </w:r>
      <w:r w:rsidRPr="003528BD">
        <w:rPr>
          <w:rFonts w:ascii="Calibri" w:hAnsi="Calibri" w:cs="Arial"/>
        </w:rPr>
        <w:t xml:space="preserve"> Regulations 5 and 9 of the Community Infrastructure Levy Regulations 2010 as amended </w:t>
      </w:r>
    </w:p>
  </w:footnote>
  <w:footnote w:id="3">
    <w:p w14:paraId="514C5CA3" w14:textId="77777777" w:rsidR="00427A1C" w:rsidRPr="003528BD" w:rsidRDefault="00427A1C" w:rsidP="00621B0F">
      <w:pPr>
        <w:pStyle w:val="FootnoteText"/>
        <w:rPr>
          <w:rFonts w:ascii="Arial" w:hAnsi="Arial" w:cs="Arial"/>
        </w:rPr>
      </w:pPr>
      <w:r w:rsidRPr="003528BD">
        <w:rPr>
          <w:rStyle w:val="FootnoteReference"/>
          <w:rFonts w:ascii="Calibri" w:hAnsi="Calibri" w:cs="Arial"/>
        </w:rPr>
        <w:footnoteRef/>
      </w:r>
      <w:r w:rsidRPr="003528BD">
        <w:rPr>
          <w:rFonts w:ascii="Calibri" w:hAnsi="Calibri" w:cs="Arial"/>
        </w:rPr>
        <w:t xml:space="preserve"> Regulation 6 (2) of the Community Infrastructure Levy Regulations 2010 as amended</w:t>
      </w:r>
    </w:p>
  </w:footnote>
  <w:footnote w:id="4">
    <w:p w14:paraId="46055578" w14:textId="1CA3C78B" w:rsidR="00C7785F" w:rsidRPr="00C7785F" w:rsidRDefault="00427A1C">
      <w:pPr>
        <w:pStyle w:val="FootnoteText"/>
        <w:rPr>
          <w:rFonts w:ascii="Calibri" w:hAnsi="Calibri"/>
        </w:rPr>
      </w:pPr>
      <w:r w:rsidRPr="00C7785F">
        <w:rPr>
          <w:rStyle w:val="FootnoteReference"/>
          <w:rFonts w:ascii="Calibri" w:hAnsi="Calibri"/>
        </w:rPr>
        <w:footnoteRef/>
      </w:r>
      <w:r w:rsidR="00C7785F" w:rsidRPr="00C7785F">
        <w:rPr>
          <w:rFonts w:ascii="Calibri" w:hAnsi="Calibri"/>
        </w:rPr>
        <w:t xml:space="preserve"> Regulation 42A and 54A of the Community Infrastructure Levy (</w:t>
      </w:r>
      <w:r w:rsidR="00912BDC">
        <w:rPr>
          <w:rFonts w:ascii="Calibri" w:hAnsi="Calibri"/>
        </w:rPr>
        <w:t>As amended)</w:t>
      </w:r>
      <w:r w:rsidR="00C7785F" w:rsidRPr="00C7785F">
        <w:rPr>
          <w:rFonts w:ascii="Calibri" w:hAnsi="Calibri"/>
        </w:rPr>
        <w:t xml:space="preserve"> </w:t>
      </w:r>
    </w:p>
    <w:p w14:paraId="74869460" w14:textId="77777777" w:rsidR="00427A1C" w:rsidRPr="00397D09" w:rsidRDefault="00427A1C">
      <w:pPr>
        <w:pStyle w:val="FootnoteText"/>
        <w:rPr>
          <w:rFonts w:ascii="Calibri" w:hAnsi="Calibri"/>
        </w:rPr>
      </w:pPr>
    </w:p>
  </w:footnote>
  <w:footnote w:id="5">
    <w:p w14:paraId="6358B207" w14:textId="77777777" w:rsidR="00427A1C" w:rsidRPr="00B90692" w:rsidRDefault="00427A1C" w:rsidP="00621B0F">
      <w:pPr>
        <w:rPr>
          <w:rFonts w:ascii="Calibri" w:hAnsi="Calibri" w:cs="Arial"/>
          <w:sz w:val="20"/>
          <w:szCs w:val="20"/>
        </w:rPr>
      </w:pPr>
      <w:r w:rsidRPr="00B90692">
        <w:rPr>
          <w:rStyle w:val="FootnoteReference"/>
          <w:rFonts w:ascii="Calibri" w:hAnsi="Calibri" w:cs="Arial"/>
          <w:sz w:val="20"/>
          <w:szCs w:val="20"/>
        </w:rPr>
        <w:footnoteRef/>
      </w:r>
      <w:r w:rsidRPr="00B90692">
        <w:rPr>
          <w:rFonts w:ascii="Calibri" w:hAnsi="Calibri" w:cs="Arial"/>
          <w:sz w:val="20"/>
          <w:szCs w:val="20"/>
        </w:rPr>
        <w:t xml:space="preserve"> </w:t>
      </w:r>
      <w:r w:rsidRPr="00B90692">
        <w:rPr>
          <w:rFonts w:ascii="Calibri" w:hAnsi="Calibri" w:cs="Arial"/>
          <w:i/>
          <w:sz w:val="20"/>
          <w:szCs w:val="20"/>
        </w:rPr>
        <w:t>‘</w:t>
      </w:r>
      <w:r w:rsidR="00375291">
        <w:rPr>
          <w:rFonts w:ascii="Calibri" w:hAnsi="Calibri" w:cs="Arial"/>
          <w:i/>
          <w:sz w:val="20"/>
          <w:szCs w:val="20"/>
        </w:rPr>
        <w:t>in-use building’ means a building which (i) is a relevant building and (ii) contains a part</w:t>
      </w:r>
      <w:r w:rsidRPr="00B90692">
        <w:rPr>
          <w:rFonts w:ascii="Calibri" w:hAnsi="Calibri" w:cs="Arial"/>
          <w:i/>
          <w:sz w:val="20"/>
          <w:szCs w:val="20"/>
        </w:rPr>
        <w:t xml:space="preserve"> that has been in use for a continuous period of at least six months within the period of </w:t>
      </w:r>
      <w:r w:rsidR="00375291">
        <w:rPr>
          <w:rFonts w:ascii="Calibri" w:hAnsi="Calibri" w:cs="Arial"/>
          <w:i/>
          <w:sz w:val="20"/>
          <w:szCs w:val="20"/>
        </w:rPr>
        <w:t>three years</w:t>
      </w:r>
      <w:r w:rsidRPr="00B90692">
        <w:rPr>
          <w:rFonts w:ascii="Calibri" w:hAnsi="Calibri" w:cs="Arial"/>
          <w:i/>
          <w:sz w:val="20"/>
          <w:szCs w:val="20"/>
        </w:rPr>
        <w:t xml:space="preserve"> ending on the day planning permission first permits the chargeable </w:t>
      </w:r>
      <w:r w:rsidRPr="00FA73BE">
        <w:rPr>
          <w:rFonts w:ascii="Calibri" w:hAnsi="Calibri" w:cs="Arial"/>
          <w:i/>
          <w:sz w:val="20"/>
          <w:szCs w:val="20"/>
        </w:rPr>
        <w:t>development’</w:t>
      </w:r>
      <w:r w:rsidRPr="00FA73BE">
        <w:rPr>
          <w:rFonts w:ascii="Calibri" w:hAnsi="Calibri" w:cs="Arial"/>
          <w:sz w:val="20"/>
          <w:szCs w:val="20"/>
        </w:rPr>
        <w:t xml:space="preserve"> (Regulation 40(1</w:t>
      </w:r>
      <w:r w:rsidR="00375291">
        <w:rPr>
          <w:rFonts w:ascii="Calibri" w:hAnsi="Calibri" w:cs="Arial"/>
          <w:sz w:val="20"/>
          <w:szCs w:val="20"/>
        </w:rPr>
        <w:t>1</w:t>
      </w:r>
      <w:r w:rsidRPr="00FA73BE">
        <w:rPr>
          <w:rFonts w:ascii="Calibri" w:hAnsi="Calibri" w:cs="Arial"/>
          <w:sz w:val="20"/>
          <w:szCs w:val="20"/>
        </w:rPr>
        <w:t>) of the Community Infrastructure Levy Regulations 2010</w:t>
      </w:r>
      <w:r w:rsidR="00375291">
        <w:rPr>
          <w:rFonts w:ascii="Calibri" w:hAnsi="Calibri" w:cs="Arial"/>
          <w:sz w:val="20"/>
          <w:szCs w:val="20"/>
        </w:rPr>
        <w:t xml:space="preserve"> (as amended</w:t>
      </w:r>
      <w:r w:rsidRPr="00FA73BE">
        <w:rPr>
          <w:rFonts w:ascii="Calibri" w:hAnsi="Calibri" w:cs="Arial"/>
          <w:sz w:val="20"/>
          <w:szCs w:val="20"/>
        </w:rPr>
        <w:t>)</w:t>
      </w:r>
    </w:p>
  </w:footnote>
  <w:footnote w:id="6">
    <w:p w14:paraId="63D42DAD" w14:textId="77777777" w:rsidR="00427A1C" w:rsidRPr="00541146" w:rsidRDefault="00427A1C">
      <w:pPr>
        <w:pStyle w:val="FootnoteText"/>
        <w:rPr>
          <w:rFonts w:ascii="Calibri" w:hAnsi="Calibri" w:cs="Arial"/>
        </w:rPr>
      </w:pPr>
      <w:r w:rsidRPr="00541146">
        <w:rPr>
          <w:rStyle w:val="FootnoteReference"/>
          <w:rFonts w:ascii="Calibri" w:hAnsi="Calibri" w:cs="Arial"/>
        </w:rPr>
        <w:footnoteRef/>
      </w:r>
      <w:r w:rsidRPr="00541146">
        <w:rPr>
          <w:rFonts w:ascii="Calibri" w:hAnsi="Calibri" w:cs="Arial"/>
        </w:rPr>
        <w:t xml:space="preserve"> Payments are due immediately where no party assumes liability and/or no commencement notice is submitted before commencement.</w:t>
      </w:r>
      <w:r>
        <w:rPr>
          <w:rFonts w:ascii="Calibri" w:hAnsi="Calibri" w:cs="Arial"/>
        </w:rPr>
        <w:t xml:space="preserve">  Where this occurs the developer does not get the benefit of payment by instalments.</w:t>
      </w:r>
    </w:p>
  </w:footnote>
  <w:footnote w:id="7">
    <w:p w14:paraId="1D09EC31" w14:textId="77777777" w:rsidR="00427A1C" w:rsidRPr="005052C7" w:rsidRDefault="00427A1C" w:rsidP="00621B0F">
      <w:pPr>
        <w:pStyle w:val="FootnoteText"/>
        <w:rPr>
          <w:rFonts w:ascii="Arial" w:hAnsi="Arial" w:cs="Arial"/>
        </w:rPr>
      </w:pPr>
      <w:r w:rsidRPr="00FA73BE">
        <w:rPr>
          <w:rStyle w:val="FootnoteReference"/>
          <w:rFonts w:ascii="Calibri" w:hAnsi="Calibri" w:cs="Arial"/>
        </w:rPr>
        <w:footnoteRef/>
      </w:r>
      <w:r w:rsidRPr="00FA73BE">
        <w:rPr>
          <w:rFonts w:ascii="Calibri" w:hAnsi="Calibri" w:cs="Arial"/>
        </w:rPr>
        <w:t xml:space="preserve"> Regulation 73</w:t>
      </w:r>
      <w:r w:rsidR="00FA73BE" w:rsidRPr="00FA73BE">
        <w:rPr>
          <w:rFonts w:ascii="Calibri" w:hAnsi="Calibri" w:cs="Arial"/>
        </w:rPr>
        <w:t xml:space="preserve"> (6)(d)</w:t>
      </w:r>
      <w:r w:rsidRPr="00FA73BE">
        <w:rPr>
          <w:rFonts w:ascii="Calibri" w:hAnsi="Calibri" w:cs="Arial"/>
        </w:rPr>
        <w:t xml:space="preserve"> of the Community Infrastructure Levy Regulations 2010</w:t>
      </w:r>
      <w:r w:rsidR="00591CB2">
        <w:rPr>
          <w:rFonts w:ascii="Calibri" w:hAnsi="Calibri" w:cs="Arial"/>
        </w:rPr>
        <w:t xml:space="preserve"> </w:t>
      </w:r>
      <w:r w:rsidR="00591CB2" w:rsidRPr="00375291">
        <w:rPr>
          <w:rFonts w:ascii="Calibri" w:hAnsi="Calibri" w:cs="Arial"/>
        </w:rPr>
        <w:t>as amended.</w:t>
      </w:r>
    </w:p>
  </w:footnote>
  <w:footnote w:id="8">
    <w:p w14:paraId="0033A059" w14:textId="60DF6585" w:rsidR="00427A1C" w:rsidRPr="001B2DA0" w:rsidRDefault="00427A1C">
      <w:pPr>
        <w:pStyle w:val="FootnoteText"/>
        <w:rPr>
          <w:rFonts w:ascii="Calibri" w:hAnsi="Calibri" w:cs="Calibri"/>
        </w:rPr>
      </w:pPr>
      <w:r w:rsidRPr="001B2DA0">
        <w:rPr>
          <w:rStyle w:val="FootnoteReference"/>
          <w:rFonts w:ascii="Calibri" w:hAnsi="Calibri" w:cs="Calibri"/>
        </w:rPr>
        <w:footnoteRef/>
      </w:r>
      <w:r w:rsidRPr="001B2DA0">
        <w:rPr>
          <w:rFonts w:ascii="Calibri" w:hAnsi="Calibri" w:cs="Calibri"/>
        </w:rPr>
        <w:t xml:space="preserve"> Set out in Regulation 59A of the </w:t>
      </w:r>
      <w:r w:rsidRPr="00B90692">
        <w:rPr>
          <w:rFonts w:ascii="Calibri" w:hAnsi="Calibri" w:cs="Arial"/>
        </w:rPr>
        <w:t xml:space="preserve">Community Infrastructure Levy </w:t>
      </w:r>
      <w:r w:rsidR="00CE2840">
        <w:rPr>
          <w:rFonts w:ascii="Calibri" w:hAnsi="Calibri" w:cs="Arial"/>
        </w:rPr>
        <w:t>(A</w:t>
      </w:r>
      <w:r w:rsidR="00C27960">
        <w:rPr>
          <w:rFonts w:ascii="Calibri" w:hAnsi="Calibri" w:cs="Arial"/>
        </w:rPr>
        <w:t>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1054BD58" w14:paraId="75487DC0" w14:textId="77777777" w:rsidTr="1054BD58">
      <w:trPr>
        <w:trHeight w:val="300"/>
      </w:trPr>
      <w:tc>
        <w:tcPr>
          <w:tcW w:w="3020" w:type="dxa"/>
        </w:tcPr>
        <w:p w14:paraId="76061EFF" w14:textId="4883D298" w:rsidR="1054BD58" w:rsidRDefault="1054BD58" w:rsidP="1054BD58">
          <w:pPr>
            <w:pStyle w:val="Header"/>
            <w:ind w:left="-115"/>
          </w:pPr>
        </w:p>
      </w:tc>
      <w:tc>
        <w:tcPr>
          <w:tcW w:w="3020" w:type="dxa"/>
        </w:tcPr>
        <w:p w14:paraId="21702462" w14:textId="14D891DA" w:rsidR="1054BD58" w:rsidRDefault="1054BD58" w:rsidP="1054BD58">
          <w:pPr>
            <w:pStyle w:val="Header"/>
            <w:jc w:val="center"/>
          </w:pPr>
        </w:p>
      </w:tc>
      <w:tc>
        <w:tcPr>
          <w:tcW w:w="3020" w:type="dxa"/>
        </w:tcPr>
        <w:p w14:paraId="69E2E81F" w14:textId="16EC451C" w:rsidR="1054BD58" w:rsidRDefault="1054BD58" w:rsidP="1054BD58">
          <w:pPr>
            <w:pStyle w:val="Header"/>
            <w:ind w:right="-115"/>
            <w:jc w:val="right"/>
          </w:pPr>
        </w:p>
      </w:tc>
    </w:tr>
  </w:tbl>
  <w:p w14:paraId="3284106C" w14:textId="2D39A71C" w:rsidR="00247B55" w:rsidRDefault="00247B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1054BD58" w14:paraId="1A1FABA3" w14:textId="77777777" w:rsidTr="1054BD58">
      <w:trPr>
        <w:trHeight w:val="300"/>
      </w:trPr>
      <w:tc>
        <w:tcPr>
          <w:tcW w:w="3020" w:type="dxa"/>
        </w:tcPr>
        <w:p w14:paraId="7154391A" w14:textId="172285F9" w:rsidR="1054BD58" w:rsidRDefault="1054BD58" w:rsidP="1054BD58">
          <w:pPr>
            <w:pStyle w:val="Header"/>
            <w:ind w:left="-115"/>
          </w:pPr>
        </w:p>
      </w:tc>
      <w:tc>
        <w:tcPr>
          <w:tcW w:w="3020" w:type="dxa"/>
        </w:tcPr>
        <w:p w14:paraId="6123D1CB" w14:textId="76FA1F09" w:rsidR="1054BD58" w:rsidRDefault="1054BD58" w:rsidP="1054BD58">
          <w:pPr>
            <w:pStyle w:val="Header"/>
            <w:jc w:val="center"/>
          </w:pPr>
        </w:p>
      </w:tc>
      <w:tc>
        <w:tcPr>
          <w:tcW w:w="3020" w:type="dxa"/>
        </w:tcPr>
        <w:p w14:paraId="3AF99833" w14:textId="57C35F71" w:rsidR="1054BD58" w:rsidRDefault="1054BD58" w:rsidP="1054BD58">
          <w:pPr>
            <w:pStyle w:val="Header"/>
            <w:ind w:right="-115"/>
            <w:jc w:val="right"/>
          </w:pPr>
        </w:p>
      </w:tc>
    </w:tr>
  </w:tbl>
  <w:p w14:paraId="5B040B3A" w14:textId="3B4AC9E3" w:rsidR="00247B55" w:rsidRDefault="00247B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1054BD58" w14:paraId="316EF1CC" w14:textId="77777777" w:rsidTr="1054BD58">
      <w:trPr>
        <w:trHeight w:val="300"/>
      </w:trPr>
      <w:tc>
        <w:tcPr>
          <w:tcW w:w="3020" w:type="dxa"/>
        </w:tcPr>
        <w:p w14:paraId="5EF37359" w14:textId="1002DD00" w:rsidR="1054BD58" w:rsidRDefault="1054BD58" w:rsidP="1054BD58">
          <w:pPr>
            <w:pStyle w:val="Header"/>
            <w:ind w:left="-115"/>
          </w:pPr>
        </w:p>
      </w:tc>
      <w:tc>
        <w:tcPr>
          <w:tcW w:w="3020" w:type="dxa"/>
        </w:tcPr>
        <w:p w14:paraId="34225A6E" w14:textId="04B71145" w:rsidR="1054BD58" w:rsidRDefault="1054BD58" w:rsidP="1054BD58">
          <w:pPr>
            <w:pStyle w:val="Header"/>
            <w:jc w:val="center"/>
          </w:pPr>
        </w:p>
      </w:tc>
      <w:tc>
        <w:tcPr>
          <w:tcW w:w="3020" w:type="dxa"/>
        </w:tcPr>
        <w:p w14:paraId="6E0132E7" w14:textId="7F850011" w:rsidR="1054BD58" w:rsidRDefault="1054BD58" w:rsidP="1054BD58">
          <w:pPr>
            <w:pStyle w:val="Header"/>
            <w:ind w:right="-115"/>
            <w:jc w:val="right"/>
          </w:pPr>
        </w:p>
      </w:tc>
    </w:tr>
  </w:tbl>
  <w:p w14:paraId="103A4A21" w14:textId="2920988D" w:rsidR="00247B55" w:rsidRDefault="00247B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1054BD58" w14:paraId="141DC6F9" w14:textId="77777777" w:rsidTr="1054BD58">
      <w:trPr>
        <w:trHeight w:val="300"/>
      </w:trPr>
      <w:tc>
        <w:tcPr>
          <w:tcW w:w="3020" w:type="dxa"/>
        </w:tcPr>
        <w:p w14:paraId="151983D8" w14:textId="1D509339" w:rsidR="1054BD58" w:rsidRDefault="1054BD58" w:rsidP="1054BD58">
          <w:pPr>
            <w:pStyle w:val="Header"/>
            <w:ind w:left="-115"/>
          </w:pPr>
        </w:p>
      </w:tc>
      <w:tc>
        <w:tcPr>
          <w:tcW w:w="3020" w:type="dxa"/>
        </w:tcPr>
        <w:p w14:paraId="4EB601EB" w14:textId="378036BE" w:rsidR="1054BD58" w:rsidRDefault="1054BD58" w:rsidP="1054BD58">
          <w:pPr>
            <w:pStyle w:val="Header"/>
            <w:jc w:val="center"/>
          </w:pPr>
        </w:p>
      </w:tc>
      <w:tc>
        <w:tcPr>
          <w:tcW w:w="3020" w:type="dxa"/>
        </w:tcPr>
        <w:p w14:paraId="6AFFA3E2" w14:textId="0AE97F98" w:rsidR="1054BD58" w:rsidRDefault="1054BD58" w:rsidP="1054BD58">
          <w:pPr>
            <w:pStyle w:val="Header"/>
            <w:ind w:right="-115"/>
            <w:jc w:val="right"/>
          </w:pPr>
        </w:p>
      </w:tc>
    </w:tr>
  </w:tbl>
  <w:p w14:paraId="2976C549" w14:textId="5B1752EB" w:rsidR="00247B55" w:rsidRDefault="00247B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60"/>
      <w:gridCol w:w="3060"/>
      <w:gridCol w:w="3060"/>
    </w:tblGrid>
    <w:tr w:rsidR="1054BD58" w14:paraId="641B40B6" w14:textId="77777777" w:rsidTr="1054BD58">
      <w:trPr>
        <w:trHeight w:val="300"/>
      </w:trPr>
      <w:tc>
        <w:tcPr>
          <w:tcW w:w="3060" w:type="dxa"/>
        </w:tcPr>
        <w:p w14:paraId="115D0D79" w14:textId="73DEC00D" w:rsidR="1054BD58" w:rsidRDefault="1054BD58" w:rsidP="1054BD58">
          <w:pPr>
            <w:pStyle w:val="Header"/>
            <w:ind w:left="-115"/>
          </w:pPr>
        </w:p>
      </w:tc>
      <w:tc>
        <w:tcPr>
          <w:tcW w:w="3060" w:type="dxa"/>
        </w:tcPr>
        <w:p w14:paraId="0FC6B52C" w14:textId="7C55AD34" w:rsidR="1054BD58" w:rsidRDefault="1054BD58" w:rsidP="1054BD58">
          <w:pPr>
            <w:pStyle w:val="Header"/>
            <w:jc w:val="center"/>
          </w:pPr>
        </w:p>
      </w:tc>
      <w:tc>
        <w:tcPr>
          <w:tcW w:w="3060" w:type="dxa"/>
        </w:tcPr>
        <w:p w14:paraId="28AA4069" w14:textId="009F5491" w:rsidR="1054BD58" w:rsidRDefault="1054BD58" w:rsidP="1054BD58">
          <w:pPr>
            <w:pStyle w:val="Header"/>
            <w:ind w:right="-115"/>
            <w:jc w:val="right"/>
          </w:pPr>
        </w:p>
      </w:tc>
    </w:tr>
  </w:tbl>
  <w:p w14:paraId="7ED4F7D8" w14:textId="6AE3620C" w:rsidR="00247B55" w:rsidRDefault="00247B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60"/>
      <w:gridCol w:w="3060"/>
      <w:gridCol w:w="3060"/>
    </w:tblGrid>
    <w:tr w:rsidR="1054BD58" w14:paraId="69F4C77B" w14:textId="77777777" w:rsidTr="1054BD58">
      <w:trPr>
        <w:trHeight w:val="300"/>
      </w:trPr>
      <w:tc>
        <w:tcPr>
          <w:tcW w:w="3060" w:type="dxa"/>
        </w:tcPr>
        <w:p w14:paraId="521B460A" w14:textId="092CD566" w:rsidR="1054BD58" w:rsidRDefault="1054BD58" w:rsidP="1054BD58">
          <w:pPr>
            <w:pStyle w:val="Header"/>
            <w:ind w:left="-115"/>
          </w:pPr>
        </w:p>
      </w:tc>
      <w:tc>
        <w:tcPr>
          <w:tcW w:w="3060" w:type="dxa"/>
        </w:tcPr>
        <w:p w14:paraId="6DF9FDE5" w14:textId="43489872" w:rsidR="1054BD58" w:rsidRDefault="1054BD58" w:rsidP="1054BD58">
          <w:pPr>
            <w:pStyle w:val="Header"/>
            <w:jc w:val="center"/>
          </w:pPr>
        </w:p>
      </w:tc>
      <w:tc>
        <w:tcPr>
          <w:tcW w:w="3060" w:type="dxa"/>
        </w:tcPr>
        <w:p w14:paraId="3E438B3D" w14:textId="74989A53" w:rsidR="1054BD58" w:rsidRDefault="1054BD58" w:rsidP="1054BD58">
          <w:pPr>
            <w:pStyle w:val="Header"/>
            <w:ind w:right="-115"/>
            <w:jc w:val="right"/>
          </w:pPr>
        </w:p>
      </w:tc>
    </w:tr>
  </w:tbl>
  <w:p w14:paraId="37FC9A31" w14:textId="5B641C6F" w:rsidR="00247B55" w:rsidRDefault="00247B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1A8DD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5347F"/>
    <w:multiLevelType w:val="hybridMultilevel"/>
    <w:tmpl w:val="436E62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5BF20FC"/>
    <w:multiLevelType w:val="hybridMultilevel"/>
    <w:tmpl w:val="813C7E36"/>
    <w:lvl w:ilvl="0" w:tplc="717058BE">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 w15:restartNumberingAfterBreak="0">
    <w:nsid w:val="065F1359"/>
    <w:multiLevelType w:val="hybridMultilevel"/>
    <w:tmpl w:val="2D2EA8E6"/>
    <w:lvl w:ilvl="0" w:tplc="0594735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07267365"/>
    <w:multiLevelType w:val="hybridMultilevel"/>
    <w:tmpl w:val="D576C51C"/>
    <w:lvl w:ilvl="0" w:tplc="5984B7A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09AC4E69"/>
    <w:multiLevelType w:val="hybridMultilevel"/>
    <w:tmpl w:val="91FE470C"/>
    <w:lvl w:ilvl="0" w:tplc="06123798">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00546"/>
    <w:multiLevelType w:val="hybridMultilevel"/>
    <w:tmpl w:val="ADDC5C74"/>
    <w:lvl w:ilvl="0" w:tplc="6A0EFC6E">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4303D"/>
    <w:multiLevelType w:val="hybridMultilevel"/>
    <w:tmpl w:val="C6C63BA8"/>
    <w:lvl w:ilvl="0" w:tplc="F1084AE0">
      <w:start w:val="19"/>
      <w:numFmt w:val="decimal"/>
      <w:lvlText w:val="%1"/>
      <w:lvlJc w:val="left"/>
      <w:pPr>
        <w:ind w:left="360" w:hanging="360"/>
      </w:pPr>
      <w:rPr>
        <w:rFonts w:ascii="Calibri,Arial" w:hAnsi="Calibri,Arial" w:hint="default"/>
      </w:rPr>
    </w:lvl>
    <w:lvl w:ilvl="1" w:tplc="D12646B6">
      <w:start w:val="1"/>
      <w:numFmt w:val="lowerLetter"/>
      <w:lvlText w:val="%2."/>
      <w:lvlJc w:val="left"/>
      <w:pPr>
        <w:ind w:left="1440" w:hanging="360"/>
      </w:pPr>
    </w:lvl>
    <w:lvl w:ilvl="2" w:tplc="462A09E2">
      <w:start w:val="1"/>
      <w:numFmt w:val="lowerRoman"/>
      <w:lvlText w:val="%3."/>
      <w:lvlJc w:val="right"/>
      <w:pPr>
        <w:ind w:left="2160" w:hanging="180"/>
      </w:pPr>
    </w:lvl>
    <w:lvl w:ilvl="3" w:tplc="6E7A9B2C">
      <w:start w:val="1"/>
      <w:numFmt w:val="decimal"/>
      <w:lvlText w:val="%4."/>
      <w:lvlJc w:val="left"/>
      <w:pPr>
        <w:ind w:left="2880" w:hanging="360"/>
      </w:pPr>
    </w:lvl>
    <w:lvl w:ilvl="4" w:tplc="71ECD222">
      <w:start w:val="1"/>
      <w:numFmt w:val="lowerLetter"/>
      <w:lvlText w:val="%5."/>
      <w:lvlJc w:val="left"/>
      <w:pPr>
        <w:ind w:left="3600" w:hanging="360"/>
      </w:pPr>
    </w:lvl>
    <w:lvl w:ilvl="5" w:tplc="DF14B488">
      <w:start w:val="1"/>
      <w:numFmt w:val="lowerRoman"/>
      <w:lvlText w:val="%6."/>
      <w:lvlJc w:val="right"/>
      <w:pPr>
        <w:ind w:left="4320" w:hanging="180"/>
      </w:pPr>
    </w:lvl>
    <w:lvl w:ilvl="6" w:tplc="741A8EAC">
      <w:start w:val="1"/>
      <w:numFmt w:val="decimal"/>
      <w:lvlText w:val="%7."/>
      <w:lvlJc w:val="left"/>
      <w:pPr>
        <w:ind w:left="5040" w:hanging="360"/>
      </w:pPr>
    </w:lvl>
    <w:lvl w:ilvl="7" w:tplc="D542E334">
      <w:start w:val="1"/>
      <w:numFmt w:val="lowerLetter"/>
      <w:lvlText w:val="%8."/>
      <w:lvlJc w:val="left"/>
      <w:pPr>
        <w:ind w:left="5760" w:hanging="360"/>
      </w:pPr>
    </w:lvl>
    <w:lvl w:ilvl="8" w:tplc="07F21322">
      <w:start w:val="1"/>
      <w:numFmt w:val="lowerRoman"/>
      <w:lvlText w:val="%9."/>
      <w:lvlJc w:val="right"/>
      <w:pPr>
        <w:ind w:left="6480" w:hanging="180"/>
      </w:pPr>
    </w:lvl>
  </w:abstractNum>
  <w:abstractNum w:abstractNumId="8" w15:restartNumberingAfterBreak="0">
    <w:nsid w:val="13C63E53"/>
    <w:multiLevelType w:val="hybridMultilevel"/>
    <w:tmpl w:val="28186E1E"/>
    <w:lvl w:ilvl="0" w:tplc="FFF02C4E">
      <w:start w:val="1"/>
      <w:numFmt w:val="bullet"/>
      <w:lvlText w:val=""/>
      <w:lvlJc w:val="left"/>
      <w:pPr>
        <w:tabs>
          <w:tab w:val="num" w:pos="540"/>
        </w:tabs>
        <w:ind w:left="540" w:hanging="360"/>
      </w:pPr>
      <w:rPr>
        <w:rFonts w:ascii="Symbol" w:hAnsi="Symbol" w:hint="default"/>
        <w:color w:val="0000FF"/>
      </w:rPr>
    </w:lvl>
    <w:lvl w:ilvl="1" w:tplc="0F9C513C">
      <w:start w:val="1"/>
      <w:numFmt w:val="bullet"/>
      <w:lvlText w:val="o"/>
      <w:lvlJc w:val="left"/>
      <w:pPr>
        <w:tabs>
          <w:tab w:val="num" w:pos="1440"/>
        </w:tabs>
        <w:ind w:left="1440" w:hanging="360"/>
      </w:pPr>
      <w:rPr>
        <w:rFonts w:ascii="Courier New" w:hAnsi="Courier New" w:hint="default"/>
        <w:color w:val="007373"/>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F97F43"/>
    <w:multiLevelType w:val="hybridMultilevel"/>
    <w:tmpl w:val="460CCBB6"/>
    <w:lvl w:ilvl="0" w:tplc="9D6E005A">
      <w:start w:val="19"/>
      <w:numFmt w:val="decimal"/>
      <w:lvlText w:val="%1"/>
      <w:lvlJc w:val="left"/>
      <w:pPr>
        <w:ind w:left="360" w:hanging="360"/>
      </w:pPr>
      <w:rPr>
        <w:rFonts w:ascii="Calibri,Arial" w:hAnsi="Calibri,Arial" w:hint="default"/>
      </w:rPr>
    </w:lvl>
    <w:lvl w:ilvl="1" w:tplc="F1781CB6">
      <w:start w:val="1"/>
      <w:numFmt w:val="lowerLetter"/>
      <w:lvlText w:val="%2."/>
      <w:lvlJc w:val="left"/>
      <w:pPr>
        <w:ind w:left="1440" w:hanging="360"/>
      </w:pPr>
    </w:lvl>
    <w:lvl w:ilvl="2" w:tplc="D37027C2">
      <w:start w:val="1"/>
      <w:numFmt w:val="lowerRoman"/>
      <w:lvlText w:val="%3."/>
      <w:lvlJc w:val="right"/>
      <w:pPr>
        <w:ind w:left="2160" w:hanging="180"/>
      </w:pPr>
    </w:lvl>
    <w:lvl w:ilvl="3" w:tplc="85743068">
      <w:start w:val="1"/>
      <w:numFmt w:val="decimal"/>
      <w:lvlText w:val="%4."/>
      <w:lvlJc w:val="left"/>
      <w:pPr>
        <w:ind w:left="2880" w:hanging="360"/>
      </w:pPr>
    </w:lvl>
    <w:lvl w:ilvl="4" w:tplc="5D3AF4EE">
      <w:start w:val="1"/>
      <w:numFmt w:val="lowerLetter"/>
      <w:lvlText w:val="%5."/>
      <w:lvlJc w:val="left"/>
      <w:pPr>
        <w:ind w:left="3600" w:hanging="360"/>
      </w:pPr>
    </w:lvl>
    <w:lvl w:ilvl="5" w:tplc="0C32594A">
      <w:start w:val="1"/>
      <w:numFmt w:val="lowerRoman"/>
      <w:lvlText w:val="%6."/>
      <w:lvlJc w:val="right"/>
      <w:pPr>
        <w:ind w:left="4320" w:hanging="180"/>
      </w:pPr>
    </w:lvl>
    <w:lvl w:ilvl="6" w:tplc="EC10D036">
      <w:start w:val="1"/>
      <w:numFmt w:val="decimal"/>
      <w:lvlText w:val="%7."/>
      <w:lvlJc w:val="left"/>
      <w:pPr>
        <w:ind w:left="5040" w:hanging="360"/>
      </w:pPr>
    </w:lvl>
    <w:lvl w:ilvl="7" w:tplc="357C59DA">
      <w:start w:val="1"/>
      <w:numFmt w:val="lowerLetter"/>
      <w:lvlText w:val="%8."/>
      <w:lvlJc w:val="left"/>
      <w:pPr>
        <w:ind w:left="5760" w:hanging="360"/>
      </w:pPr>
    </w:lvl>
    <w:lvl w:ilvl="8" w:tplc="72662D28">
      <w:start w:val="1"/>
      <w:numFmt w:val="lowerRoman"/>
      <w:lvlText w:val="%9."/>
      <w:lvlJc w:val="right"/>
      <w:pPr>
        <w:ind w:left="6480" w:hanging="180"/>
      </w:pPr>
    </w:lvl>
  </w:abstractNum>
  <w:abstractNum w:abstractNumId="10" w15:restartNumberingAfterBreak="0">
    <w:nsid w:val="15B8582C"/>
    <w:multiLevelType w:val="multilevel"/>
    <w:tmpl w:val="B44417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270949"/>
    <w:multiLevelType w:val="hybridMultilevel"/>
    <w:tmpl w:val="3580F190"/>
    <w:lvl w:ilvl="0" w:tplc="A4F6F566">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7A2663"/>
    <w:multiLevelType w:val="multilevel"/>
    <w:tmpl w:val="961C547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A768F0"/>
    <w:multiLevelType w:val="hybridMultilevel"/>
    <w:tmpl w:val="578AA2DC"/>
    <w:lvl w:ilvl="0" w:tplc="3F32D72A">
      <w:start w:val="1"/>
      <w:numFmt w:val="bullet"/>
      <w:lvlText w:val=""/>
      <w:lvlJc w:val="left"/>
      <w:pPr>
        <w:tabs>
          <w:tab w:val="num" w:pos="540"/>
        </w:tabs>
        <w:ind w:left="540" w:hanging="360"/>
      </w:pPr>
      <w:rPr>
        <w:rFonts w:ascii="Symbol" w:hAnsi="Symbol" w:hint="default"/>
        <w:color w:val="007373"/>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D30080"/>
    <w:multiLevelType w:val="hybridMultilevel"/>
    <w:tmpl w:val="DB92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A7376"/>
    <w:multiLevelType w:val="hybridMultilevel"/>
    <w:tmpl w:val="D07EEE90"/>
    <w:lvl w:ilvl="0" w:tplc="72F6B11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10161BE"/>
    <w:multiLevelType w:val="hybridMultilevel"/>
    <w:tmpl w:val="C92E9886"/>
    <w:lvl w:ilvl="0" w:tplc="D254875E">
      <w:start w:val="1"/>
      <w:numFmt w:val="lowerLetter"/>
      <w:lvlText w:val="%1)"/>
      <w:lvlJc w:val="left"/>
      <w:pPr>
        <w:ind w:left="720" w:hanging="360"/>
      </w:pPr>
    </w:lvl>
    <w:lvl w:ilvl="1" w:tplc="8698E394">
      <w:start w:val="1"/>
      <w:numFmt w:val="lowerLetter"/>
      <w:lvlText w:val="%2."/>
      <w:lvlJc w:val="left"/>
      <w:pPr>
        <w:ind w:left="1440" w:hanging="360"/>
      </w:pPr>
    </w:lvl>
    <w:lvl w:ilvl="2" w:tplc="3634F86E">
      <w:start w:val="1"/>
      <w:numFmt w:val="lowerRoman"/>
      <w:lvlText w:val="%3."/>
      <w:lvlJc w:val="right"/>
      <w:pPr>
        <w:ind w:left="2160" w:hanging="180"/>
      </w:pPr>
    </w:lvl>
    <w:lvl w:ilvl="3" w:tplc="1F9E4C62">
      <w:start w:val="1"/>
      <w:numFmt w:val="decimal"/>
      <w:lvlText w:val="%4."/>
      <w:lvlJc w:val="left"/>
      <w:pPr>
        <w:ind w:left="2880" w:hanging="360"/>
      </w:pPr>
    </w:lvl>
    <w:lvl w:ilvl="4" w:tplc="CF4C1AA8">
      <w:start w:val="1"/>
      <w:numFmt w:val="lowerLetter"/>
      <w:lvlText w:val="%5."/>
      <w:lvlJc w:val="left"/>
      <w:pPr>
        <w:ind w:left="3600" w:hanging="360"/>
      </w:pPr>
    </w:lvl>
    <w:lvl w:ilvl="5" w:tplc="F3BAEFE8">
      <w:start w:val="1"/>
      <w:numFmt w:val="lowerRoman"/>
      <w:lvlText w:val="%6."/>
      <w:lvlJc w:val="right"/>
      <w:pPr>
        <w:ind w:left="4320" w:hanging="180"/>
      </w:pPr>
    </w:lvl>
    <w:lvl w:ilvl="6" w:tplc="27C297D0">
      <w:start w:val="1"/>
      <w:numFmt w:val="decimal"/>
      <w:lvlText w:val="%7."/>
      <w:lvlJc w:val="left"/>
      <w:pPr>
        <w:ind w:left="5040" w:hanging="360"/>
      </w:pPr>
    </w:lvl>
    <w:lvl w:ilvl="7" w:tplc="882A22C0">
      <w:start w:val="1"/>
      <w:numFmt w:val="lowerLetter"/>
      <w:lvlText w:val="%8."/>
      <w:lvlJc w:val="left"/>
      <w:pPr>
        <w:ind w:left="5760" w:hanging="360"/>
      </w:pPr>
    </w:lvl>
    <w:lvl w:ilvl="8" w:tplc="9D0A3976">
      <w:start w:val="1"/>
      <w:numFmt w:val="lowerRoman"/>
      <w:lvlText w:val="%9."/>
      <w:lvlJc w:val="right"/>
      <w:pPr>
        <w:ind w:left="6480" w:hanging="180"/>
      </w:pPr>
    </w:lvl>
  </w:abstractNum>
  <w:abstractNum w:abstractNumId="17" w15:restartNumberingAfterBreak="0">
    <w:nsid w:val="2EAE75E0"/>
    <w:multiLevelType w:val="hybridMultilevel"/>
    <w:tmpl w:val="6C2C51E2"/>
    <w:lvl w:ilvl="0" w:tplc="9C3E8B2E">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21733C"/>
    <w:multiLevelType w:val="hybridMultilevel"/>
    <w:tmpl w:val="832EF98A"/>
    <w:lvl w:ilvl="0" w:tplc="E6D63116">
      <w:start w:val="19"/>
      <w:numFmt w:val="decimal"/>
      <w:lvlText w:val="%1"/>
      <w:lvlJc w:val="left"/>
      <w:pPr>
        <w:ind w:left="360" w:hanging="360"/>
      </w:pPr>
      <w:rPr>
        <w:rFonts w:ascii="Calibri,Arial" w:hAnsi="Calibri,Arial" w:hint="default"/>
      </w:rPr>
    </w:lvl>
    <w:lvl w:ilvl="1" w:tplc="A6F6D38E">
      <w:start w:val="1"/>
      <w:numFmt w:val="lowerLetter"/>
      <w:lvlText w:val="%2."/>
      <w:lvlJc w:val="left"/>
      <w:pPr>
        <w:ind w:left="1440" w:hanging="360"/>
      </w:pPr>
    </w:lvl>
    <w:lvl w:ilvl="2" w:tplc="737A9294">
      <w:start w:val="1"/>
      <w:numFmt w:val="lowerRoman"/>
      <w:lvlText w:val="%3."/>
      <w:lvlJc w:val="right"/>
      <w:pPr>
        <w:ind w:left="2160" w:hanging="180"/>
      </w:pPr>
    </w:lvl>
    <w:lvl w:ilvl="3" w:tplc="CB06384C">
      <w:start w:val="1"/>
      <w:numFmt w:val="decimal"/>
      <w:lvlText w:val="%4."/>
      <w:lvlJc w:val="left"/>
      <w:pPr>
        <w:ind w:left="2880" w:hanging="360"/>
      </w:pPr>
    </w:lvl>
    <w:lvl w:ilvl="4" w:tplc="183E58E8">
      <w:start w:val="1"/>
      <w:numFmt w:val="lowerLetter"/>
      <w:lvlText w:val="%5."/>
      <w:lvlJc w:val="left"/>
      <w:pPr>
        <w:ind w:left="3600" w:hanging="360"/>
      </w:pPr>
    </w:lvl>
    <w:lvl w:ilvl="5" w:tplc="2E0CE52E">
      <w:start w:val="1"/>
      <w:numFmt w:val="lowerRoman"/>
      <w:lvlText w:val="%6."/>
      <w:lvlJc w:val="right"/>
      <w:pPr>
        <w:ind w:left="4320" w:hanging="180"/>
      </w:pPr>
    </w:lvl>
    <w:lvl w:ilvl="6" w:tplc="B98E1FC4">
      <w:start w:val="1"/>
      <w:numFmt w:val="decimal"/>
      <w:lvlText w:val="%7."/>
      <w:lvlJc w:val="left"/>
      <w:pPr>
        <w:ind w:left="5040" w:hanging="360"/>
      </w:pPr>
    </w:lvl>
    <w:lvl w:ilvl="7" w:tplc="2CEE1EBC">
      <w:start w:val="1"/>
      <w:numFmt w:val="lowerLetter"/>
      <w:lvlText w:val="%8."/>
      <w:lvlJc w:val="left"/>
      <w:pPr>
        <w:ind w:left="5760" w:hanging="360"/>
      </w:pPr>
    </w:lvl>
    <w:lvl w:ilvl="8" w:tplc="5CF49056">
      <w:start w:val="1"/>
      <w:numFmt w:val="lowerRoman"/>
      <w:lvlText w:val="%9."/>
      <w:lvlJc w:val="right"/>
      <w:pPr>
        <w:ind w:left="6480" w:hanging="180"/>
      </w:pPr>
    </w:lvl>
  </w:abstractNum>
  <w:abstractNum w:abstractNumId="19" w15:restartNumberingAfterBreak="0">
    <w:nsid w:val="30E155FF"/>
    <w:multiLevelType w:val="multilevel"/>
    <w:tmpl w:val="FE84C230"/>
    <w:lvl w:ilvl="0">
      <w:start w:val="1"/>
      <w:numFmt w:val="decimal"/>
      <w:lvlText w:val="%1"/>
      <w:lvlJc w:val="left"/>
      <w:pPr>
        <w:tabs>
          <w:tab w:val="num" w:pos="360"/>
        </w:tabs>
        <w:ind w:left="360" w:hanging="360"/>
      </w:pPr>
      <w:rPr>
        <w:b w:val="0"/>
        <w:i w:val="0"/>
        <w:color w:val="auto"/>
      </w:r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3B31136A"/>
    <w:multiLevelType w:val="hybridMultilevel"/>
    <w:tmpl w:val="54A49FF6"/>
    <w:lvl w:ilvl="0" w:tplc="EEB8A07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456E5B33"/>
    <w:multiLevelType w:val="hybridMultilevel"/>
    <w:tmpl w:val="EAD8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A6170"/>
    <w:multiLevelType w:val="singleLevel"/>
    <w:tmpl w:val="0809000F"/>
    <w:lvl w:ilvl="0">
      <w:start w:val="1"/>
      <w:numFmt w:val="decimal"/>
      <w:lvlText w:val="%1."/>
      <w:lvlJc w:val="left"/>
      <w:pPr>
        <w:ind w:left="720" w:hanging="360"/>
      </w:pPr>
      <w:rPr>
        <w:rFonts w:hint="default"/>
      </w:rPr>
    </w:lvl>
  </w:abstractNum>
  <w:abstractNum w:abstractNumId="23" w15:restartNumberingAfterBreak="0">
    <w:nsid w:val="55532444"/>
    <w:multiLevelType w:val="hybridMultilevel"/>
    <w:tmpl w:val="DB6650B8"/>
    <w:lvl w:ilvl="0" w:tplc="1186B9C6">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4863E6"/>
    <w:multiLevelType w:val="hybridMultilevel"/>
    <w:tmpl w:val="15FCA194"/>
    <w:lvl w:ilvl="0" w:tplc="F4286B4E">
      <w:start w:val="1"/>
      <w:numFmt w:val="decimal"/>
      <w:lvlText w:val="(%1)"/>
      <w:lvlJc w:val="left"/>
      <w:pPr>
        <w:ind w:left="720" w:hanging="360"/>
      </w:pPr>
      <w:rPr>
        <w:rFonts w:cs="TimesNew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D55852"/>
    <w:multiLevelType w:val="hybridMultilevel"/>
    <w:tmpl w:val="B8C05058"/>
    <w:lvl w:ilvl="0" w:tplc="A1AA92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F70A7B"/>
    <w:multiLevelType w:val="multilevel"/>
    <w:tmpl w:val="84C018E6"/>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2DA1413"/>
    <w:multiLevelType w:val="hybridMultilevel"/>
    <w:tmpl w:val="FA10E2E4"/>
    <w:lvl w:ilvl="0" w:tplc="60E0DCB8">
      <w:start w:val="1"/>
      <w:numFmt w:val="low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8" w15:restartNumberingAfterBreak="0">
    <w:nsid w:val="62FB134A"/>
    <w:multiLevelType w:val="hybridMultilevel"/>
    <w:tmpl w:val="E2545EBC"/>
    <w:lvl w:ilvl="0" w:tplc="BCD0FAD6">
      <w:start w:val="1"/>
      <w:numFmt w:val="bullet"/>
      <w:lvlText w:val=""/>
      <w:lvlJc w:val="left"/>
      <w:pPr>
        <w:tabs>
          <w:tab w:val="num" w:pos="540"/>
        </w:tabs>
        <w:ind w:left="540" w:hanging="360"/>
      </w:pPr>
      <w:rPr>
        <w:rFonts w:ascii="Symbol" w:hAnsi="Symbol" w:hint="default"/>
        <w:color w:val="00737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795208"/>
    <w:multiLevelType w:val="hybridMultilevel"/>
    <w:tmpl w:val="8586D310"/>
    <w:lvl w:ilvl="0" w:tplc="3282221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0" w15:restartNumberingAfterBreak="0">
    <w:nsid w:val="651A508B"/>
    <w:multiLevelType w:val="multilevel"/>
    <w:tmpl w:val="57A484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FB3A77"/>
    <w:multiLevelType w:val="hybridMultilevel"/>
    <w:tmpl w:val="C4407162"/>
    <w:lvl w:ilvl="0" w:tplc="FFFFFFFF">
      <w:start w:val="1"/>
      <w:numFmt w:val="lowerLetter"/>
      <w:lvlText w:val="%1)"/>
      <w:lvlJc w:val="left"/>
      <w:pPr>
        <w:tabs>
          <w:tab w:val="num" w:pos="720"/>
        </w:tabs>
        <w:ind w:left="720" w:hanging="360"/>
      </w:pPr>
      <w:rPr>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E046264"/>
    <w:multiLevelType w:val="hybridMultilevel"/>
    <w:tmpl w:val="9C2A69E4"/>
    <w:lvl w:ilvl="0" w:tplc="B8ECDB60">
      <w:start w:val="1"/>
      <w:numFmt w:val="bullet"/>
      <w:lvlText w:val=""/>
      <w:lvlJc w:val="left"/>
      <w:pPr>
        <w:ind w:left="1287" w:hanging="360"/>
      </w:pPr>
      <w:rPr>
        <w:rFonts w:ascii="Symbol" w:hAnsi="Symbol" w:hint="default"/>
        <w:color w:val="000000" w:themeColor="text1"/>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0886F78"/>
    <w:multiLevelType w:val="hybridMultilevel"/>
    <w:tmpl w:val="B7BC19B6"/>
    <w:lvl w:ilvl="0" w:tplc="DF846438">
      <w:start w:val="1"/>
      <w:numFmt w:val="decimal"/>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7378E920"/>
    <w:multiLevelType w:val="hybridMultilevel"/>
    <w:tmpl w:val="DC6A48F8"/>
    <w:lvl w:ilvl="0" w:tplc="DB7E0918">
      <w:start w:val="19"/>
      <w:numFmt w:val="decimal"/>
      <w:lvlText w:val="%1"/>
      <w:lvlJc w:val="left"/>
      <w:pPr>
        <w:ind w:left="360" w:hanging="360"/>
      </w:pPr>
      <w:rPr>
        <w:rFonts w:ascii="Calibri,Arial" w:hAnsi="Calibri,Arial" w:hint="default"/>
      </w:rPr>
    </w:lvl>
    <w:lvl w:ilvl="1" w:tplc="2E0033EE">
      <w:start w:val="1"/>
      <w:numFmt w:val="lowerLetter"/>
      <w:lvlText w:val="%2."/>
      <w:lvlJc w:val="left"/>
      <w:pPr>
        <w:ind w:left="1440" w:hanging="360"/>
      </w:pPr>
    </w:lvl>
    <w:lvl w:ilvl="2" w:tplc="C298E1E0">
      <w:start w:val="1"/>
      <w:numFmt w:val="lowerRoman"/>
      <w:lvlText w:val="%3."/>
      <w:lvlJc w:val="right"/>
      <w:pPr>
        <w:ind w:left="2160" w:hanging="180"/>
      </w:pPr>
    </w:lvl>
    <w:lvl w:ilvl="3" w:tplc="0478B984">
      <w:start w:val="1"/>
      <w:numFmt w:val="decimal"/>
      <w:lvlText w:val="%4."/>
      <w:lvlJc w:val="left"/>
      <w:pPr>
        <w:ind w:left="2880" w:hanging="360"/>
      </w:pPr>
    </w:lvl>
    <w:lvl w:ilvl="4" w:tplc="B464D7E2">
      <w:start w:val="1"/>
      <w:numFmt w:val="lowerLetter"/>
      <w:lvlText w:val="%5."/>
      <w:lvlJc w:val="left"/>
      <w:pPr>
        <w:ind w:left="3600" w:hanging="360"/>
      </w:pPr>
    </w:lvl>
    <w:lvl w:ilvl="5" w:tplc="7C229D14">
      <w:start w:val="1"/>
      <w:numFmt w:val="lowerRoman"/>
      <w:lvlText w:val="%6."/>
      <w:lvlJc w:val="right"/>
      <w:pPr>
        <w:ind w:left="4320" w:hanging="180"/>
      </w:pPr>
    </w:lvl>
    <w:lvl w:ilvl="6" w:tplc="77045B22">
      <w:start w:val="1"/>
      <w:numFmt w:val="decimal"/>
      <w:lvlText w:val="%7."/>
      <w:lvlJc w:val="left"/>
      <w:pPr>
        <w:ind w:left="5040" w:hanging="360"/>
      </w:pPr>
    </w:lvl>
    <w:lvl w:ilvl="7" w:tplc="BC0CB3A8">
      <w:start w:val="1"/>
      <w:numFmt w:val="lowerLetter"/>
      <w:lvlText w:val="%8."/>
      <w:lvlJc w:val="left"/>
      <w:pPr>
        <w:ind w:left="5760" w:hanging="360"/>
      </w:pPr>
    </w:lvl>
    <w:lvl w:ilvl="8" w:tplc="D278C472">
      <w:start w:val="1"/>
      <w:numFmt w:val="lowerRoman"/>
      <w:lvlText w:val="%9."/>
      <w:lvlJc w:val="right"/>
      <w:pPr>
        <w:ind w:left="6480" w:hanging="180"/>
      </w:pPr>
    </w:lvl>
  </w:abstractNum>
  <w:abstractNum w:abstractNumId="35" w15:restartNumberingAfterBreak="0">
    <w:nsid w:val="7B054089"/>
    <w:multiLevelType w:val="hybridMultilevel"/>
    <w:tmpl w:val="E182BF22"/>
    <w:lvl w:ilvl="0" w:tplc="FE521F38">
      <w:start w:val="1"/>
      <w:numFmt w:val="bullet"/>
      <w:lvlText w:val=""/>
      <w:lvlJc w:val="left"/>
      <w:pPr>
        <w:tabs>
          <w:tab w:val="num" w:pos="0"/>
        </w:tabs>
        <w:ind w:left="0" w:hanging="360"/>
      </w:pPr>
      <w:rPr>
        <w:rFonts w:ascii="Symbol" w:hAnsi="Symbol" w:hint="default"/>
        <w:color w:val="007373"/>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7C0B1720"/>
    <w:multiLevelType w:val="hybridMultilevel"/>
    <w:tmpl w:val="D2B286B8"/>
    <w:lvl w:ilvl="0" w:tplc="C420A07A">
      <w:start w:val="1"/>
      <w:numFmt w:val="lowerLetter"/>
      <w:lvlText w:val="%1)"/>
      <w:lvlJc w:val="left"/>
      <w:pPr>
        <w:tabs>
          <w:tab w:val="num" w:pos="540"/>
        </w:tabs>
        <w:ind w:left="540" w:hanging="360"/>
      </w:pPr>
      <w:rPr>
        <w:rFonts w:ascii="Calibri" w:eastAsia="Times New Roman" w:hAnsi="Calibri" w:cs="Arial"/>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34"/>
  </w:num>
  <w:num w:numId="4">
    <w:abstractNumId w:val="9"/>
  </w:num>
  <w:num w:numId="5">
    <w:abstractNumId w:val="36"/>
  </w:num>
  <w:num w:numId="6">
    <w:abstractNumId w:val="2"/>
  </w:num>
  <w:num w:numId="7">
    <w:abstractNumId w:val="35"/>
  </w:num>
  <w:num w:numId="8">
    <w:abstractNumId w:val="19"/>
  </w:num>
  <w:num w:numId="9">
    <w:abstractNumId w:val="11"/>
  </w:num>
  <w:num w:numId="10">
    <w:abstractNumId w:val="13"/>
  </w:num>
  <w:num w:numId="11">
    <w:abstractNumId w:val="8"/>
  </w:num>
  <w:num w:numId="12">
    <w:abstractNumId w:val="23"/>
  </w:num>
  <w:num w:numId="13">
    <w:abstractNumId w:val="17"/>
  </w:num>
  <w:num w:numId="14">
    <w:abstractNumId w:val="28"/>
  </w:num>
  <w:num w:numId="15">
    <w:abstractNumId w:val="5"/>
  </w:num>
  <w:num w:numId="16">
    <w:abstractNumId w:val="6"/>
  </w:num>
  <w:num w:numId="17">
    <w:abstractNumId w:val="1"/>
  </w:num>
  <w:num w:numId="18">
    <w:abstractNumId w:val="31"/>
  </w:num>
  <w:num w:numId="19">
    <w:abstractNumId w:val="29"/>
  </w:num>
  <w:num w:numId="20">
    <w:abstractNumId w:val="27"/>
  </w:num>
  <w:num w:numId="21">
    <w:abstractNumId w:val="3"/>
  </w:num>
  <w:num w:numId="22">
    <w:abstractNumId w:val="20"/>
  </w:num>
  <w:num w:numId="23">
    <w:abstractNumId w:val="4"/>
  </w:num>
  <w:num w:numId="24">
    <w:abstractNumId w:val="15"/>
  </w:num>
  <w:num w:numId="25">
    <w:abstractNumId w:val="33"/>
  </w:num>
  <w:num w:numId="26">
    <w:abstractNumId w:val="24"/>
  </w:num>
  <w:num w:numId="27">
    <w:abstractNumId w:val="22"/>
  </w:num>
  <w:num w:numId="28">
    <w:abstractNumId w:val="12"/>
  </w:num>
  <w:num w:numId="29">
    <w:abstractNumId w:val="32"/>
  </w:num>
  <w:num w:numId="30">
    <w:abstractNumId w:val="21"/>
  </w:num>
  <w:num w:numId="31">
    <w:abstractNumId w:val="26"/>
  </w:num>
  <w:num w:numId="32">
    <w:abstractNumId w:val="25"/>
  </w:num>
  <w:num w:numId="33">
    <w:abstractNumId w:val="14"/>
  </w:num>
  <w:num w:numId="34">
    <w:abstractNumId w:val="10"/>
  </w:num>
  <w:num w:numId="35">
    <w:abstractNumId w:val="30"/>
  </w:num>
  <w:num w:numId="36">
    <w:abstractNumId w:val="16"/>
  </w:num>
  <w:num w:numId="3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06F28"/>
    <w:rsid w:val="00007154"/>
    <w:rsid w:val="00010A9F"/>
    <w:rsid w:val="0001598F"/>
    <w:rsid w:val="000202B6"/>
    <w:rsid w:val="00024BF3"/>
    <w:rsid w:val="00032D30"/>
    <w:rsid w:val="000330B1"/>
    <w:rsid w:val="00035465"/>
    <w:rsid w:val="00035D4A"/>
    <w:rsid w:val="00037D83"/>
    <w:rsid w:val="0004280A"/>
    <w:rsid w:val="00042B5A"/>
    <w:rsid w:val="00046F7C"/>
    <w:rsid w:val="00050676"/>
    <w:rsid w:val="000507A9"/>
    <w:rsid w:val="00053D39"/>
    <w:rsid w:val="000544EF"/>
    <w:rsid w:val="00054B45"/>
    <w:rsid w:val="00056263"/>
    <w:rsid w:val="00056997"/>
    <w:rsid w:val="00056F45"/>
    <w:rsid w:val="00061519"/>
    <w:rsid w:val="000630AB"/>
    <w:rsid w:val="00063117"/>
    <w:rsid w:val="00064C30"/>
    <w:rsid w:val="000664AC"/>
    <w:rsid w:val="00074B29"/>
    <w:rsid w:val="00074E67"/>
    <w:rsid w:val="00080C1B"/>
    <w:rsid w:val="00081A10"/>
    <w:rsid w:val="0008278A"/>
    <w:rsid w:val="000837E3"/>
    <w:rsid w:val="0008468D"/>
    <w:rsid w:val="00085E41"/>
    <w:rsid w:val="00086D1D"/>
    <w:rsid w:val="00087569"/>
    <w:rsid w:val="0009390B"/>
    <w:rsid w:val="0009648D"/>
    <w:rsid w:val="000A15E2"/>
    <w:rsid w:val="000A2D05"/>
    <w:rsid w:val="000C168B"/>
    <w:rsid w:val="000C1CA3"/>
    <w:rsid w:val="000C1FA7"/>
    <w:rsid w:val="000C28FF"/>
    <w:rsid w:val="000C3928"/>
    <w:rsid w:val="000C48AD"/>
    <w:rsid w:val="000C4BED"/>
    <w:rsid w:val="000D25C6"/>
    <w:rsid w:val="000D2DE5"/>
    <w:rsid w:val="000D44F2"/>
    <w:rsid w:val="000D4604"/>
    <w:rsid w:val="000E02B7"/>
    <w:rsid w:val="000E0519"/>
    <w:rsid w:val="000E6581"/>
    <w:rsid w:val="000E718E"/>
    <w:rsid w:val="000F574A"/>
    <w:rsid w:val="00104318"/>
    <w:rsid w:val="00104E14"/>
    <w:rsid w:val="00106F3A"/>
    <w:rsid w:val="00112206"/>
    <w:rsid w:val="00114727"/>
    <w:rsid w:val="00115D57"/>
    <w:rsid w:val="001326AD"/>
    <w:rsid w:val="00132977"/>
    <w:rsid w:val="00133B83"/>
    <w:rsid w:val="00134599"/>
    <w:rsid w:val="00134DD3"/>
    <w:rsid w:val="00135FE9"/>
    <w:rsid w:val="0013615E"/>
    <w:rsid w:val="001362F9"/>
    <w:rsid w:val="00144477"/>
    <w:rsid w:val="00151082"/>
    <w:rsid w:val="00154E66"/>
    <w:rsid w:val="00154FB3"/>
    <w:rsid w:val="00161148"/>
    <w:rsid w:val="00166A28"/>
    <w:rsid w:val="00174B1D"/>
    <w:rsid w:val="00175CAB"/>
    <w:rsid w:val="001772CA"/>
    <w:rsid w:val="0018550C"/>
    <w:rsid w:val="00190F73"/>
    <w:rsid w:val="00195C96"/>
    <w:rsid w:val="001A1003"/>
    <w:rsid w:val="001A3834"/>
    <w:rsid w:val="001A5322"/>
    <w:rsid w:val="001A610C"/>
    <w:rsid w:val="001A652D"/>
    <w:rsid w:val="001A67F0"/>
    <w:rsid w:val="001A7F48"/>
    <w:rsid w:val="001B2DA0"/>
    <w:rsid w:val="001C08C6"/>
    <w:rsid w:val="001C1B3E"/>
    <w:rsid w:val="001C436F"/>
    <w:rsid w:val="001C7030"/>
    <w:rsid w:val="001D0D11"/>
    <w:rsid w:val="001D1851"/>
    <w:rsid w:val="001D3E78"/>
    <w:rsid w:val="001D75E1"/>
    <w:rsid w:val="001D7B29"/>
    <w:rsid w:val="001E0518"/>
    <w:rsid w:val="001E1A83"/>
    <w:rsid w:val="001E7EDC"/>
    <w:rsid w:val="001F0FF8"/>
    <w:rsid w:val="001F29C8"/>
    <w:rsid w:val="001F448A"/>
    <w:rsid w:val="001F5F63"/>
    <w:rsid w:val="00202EAC"/>
    <w:rsid w:val="002042D3"/>
    <w:rsid w:val="0020656B"/>
    <w:rsid w:val="00210228"/>
    <w:rsid w:val="00214D63"/>
    <w:rsid w:val="00217582"/>
    <w:rsid w:val="00221AA8"/>
    <w:rsid w:val="00226405"/>
    <w:rsid w:val="002271B0"/>
    <w:rsid w:val="00230E08"/>
    <w:rsid w:val="002325C2"/>
    <w:rsid w:val="002329ED"/>
    <w:rsid w:val="002335FA"/>
    <w:rsid w:val="00233AEA"/>
    <w:rsid w:val="00241939"/>
    <w:rsid w:val="002425C6"/>
    <w:rsid w:val="00244307"/>
    <w:rsid w:val="0024667F"/>
    <w:rsid w:val="0024754F"/>
    <w:rsid w:val="00247B55"/>
    <w:rsid w:val="002510FC"/>
    <w:rsid w:val="00256D87"/>
    <w:rsid w:val="00257831"/>
    <w:rsid w:val="00261B9E"/>
    <w:rsid w:val="00262F7C"/>
    <w:rsid w:val="0026475F"/>
    <w:rsid w:val="00270631"/>
    <w:rsid w:val="002724FD"/>
    <w:rsid w:val="002730AA"/>
    <w:rsid w:val="0027326E"/>
    <w:rsid w:val="00275653"/>
    <w:rsid w:val="0028760C"/>
    <w:rsid w:val="002938C1"/>
    <w:rsid w:val="00295ED9"/>
    <w:rsid w:val="00296F18"/>
    <w:rsid w:val="002A23BD"/>
    <w:rsid w:val="002A2491"/>
    <w:rsid w:val="002A6278"/>
    <w:rsid w:val="002A752C"/>
    <w:rsid w:val="002B0315"/>
    <w:rsid w:val="002B0BA9"/>
    <w:rsid w:val="002B2B66"/>
    <w:rsid w:val="002B2CFD"/>
    <w:rsid w:val="002B60F6"/>
    <w:rsid w:val="002D1A0F"/>
    <w:rsid w:val="002D2612"/>
    <w:rsid w:val="002D4A1E"/>
    <w:rsid w:val="002D78A7"/>
    <w:rsid w:val="002E0074"/>
    <w:rsid w:val="002E1711"/>
    <w:rsid w:val="002E25C1"/>
    <w:rsid w:val="002E3227"/>
    <w:rsid w:val="002F36BD"/>
    <w:rsid w:val="002F475C"/>
    <w:rsid w:val="002F5DF4"/>
    <w:rsid w:val="002F79D0"/>
    <w:rsid w:val="0031158C"/>
    <w:rsid w:val="00311A1C"/>
    <w:rsid w:val="00313A23"/>
    <w:rsid w:val="003141D9"/>
    <w:rsid w:val="00315695"/>
    <w:rsid w:val="0031759D"/>
    <w:rsid w:val="003215E6"/>
    <w:rsid w:val="00321C11"/>
    <w:rsid w:val="00323940"/>
    <w:rsid w:val="00325D14"/>
    <w:rsid w:val="00326FA0"/>
    <w:rsid w:val="003317C8"/>
    <w:rsid w:val="00332FE3"/>
    <w:rsid w:val="00336A8E"/>
    <w:rsid w:val="003400DA"/>
    <w:rsid w:val="003412AD"/>
    <w:rsid w:val="003416E3"/>
    <w:rsid w:val="00346854"/>
    <w:rsid w:val="003476A8"/>
    <w:rsid w:val="00347FB1"/>
    <w:rsid w:val="003528BD"/>
    <w:rsid w:val="003554BD"/>
    <w:rsid w:val="00357DD8"/>
    <w:rsid w:val="00360298"/>
    <w:rsid w:val="0036093E"/>
    <w:rsid w:val="00371E60"/>
    <w:rsid w:val="00375291"/>
    <w:rsid w:val="00377FCB"/>
    <w:rsid w:val="00380345"/>
    <w:rsid w:val="0038050E"/>
    <w:rsid w:val="00381A40"/>
    <w:rsid w:val="00383E43"/>
    <w:rsid w:val="003851A5"/>
    <w:rsid w:val="0039025A"/>
    <w:rsid w:val="003906DB"/>
    <w:rsid w:val="00390E60"/>
    <w:rsid w:val="00394376"/>
    <w:rsid w:val="003965B4"/>
    <w:rsid w:val="00397D09"/>
    <w:rsid w:val="003A7A95"/>
    <w:rsid w:val="003B4FB8"/>
    <w:rsid w:val="003B7C84"/>
    <w:rsid w:val="003C2344"/>
    <w:rsid w:val="003C4EA0"/>
    <w:rsid w:val="003D4645"/>
    <w:rsid w:val="003E32D5"/>
    <w:rsid w:val="003E67E7"/>
    <w:rsid w:val="003E71FD"/>
    <w:rsid w:val="003F273C"/>
    <w:rsid w:val="003F564C"/>
    <w:rsid w:val="003F5E1C"/>
    <w:rsid w:val="003F6685"/>
    <w:rsid w:val="003F7D52"/>
    <w:rsid w:val="00400809"/>
    <w:rsid w:val="00401AFA"/>
    <w:rsid w:val="00404157"/>
    <w:rsid w:val="00407905"/>
    <w:rsid w:val="00415FC8"/>
    <w:rsid w:val="00420DB6"/>
    <w:rsid w:val="004212F8"/>
    <w:rsid w:val="00422574"/>
    <w:rsid w:val="00427A1C"/>
    <w:rsid w:val="0043209E"/>
    <w:rsid w:val="00435B32"/>
    <w:rsid w:val="00446155"/>
    <w:rsid w:val="0044752D"/>
    <w:rsid w:val="0045514D"/>
    <w:rsid w:val="00457332"/>
    <w:rsid w:val="00463B10"/>
    <w:rsid w:val="00464971"/>
    <w:rsid w:val="00465EAF"/>
    <w:rsid w:val="00466DAA"/>
    <w:rsid w:val="00467C88"/>
    <w:rsid w:val="00470DF2"/>
    <w:rsid w:val="00472D3F"/>
    <w:rsid w:val="0047343E"/>
    <w:rsid w:val="004769C4"/>
    <w:rsid w:val="00477936"/>
    <w:rsid w:val="00482C23"/>
    <w:rsid w:val="004878BE"/>
    <w:rsid w:val="004927B0"/>
    <w:rsid w:val="00493F9B"/>
    <w:rsid w:val="0049446F"/>
    <w:rsid w:val="00494AD3"/>
    <w:rsid w:val="004A0C5B"/>
    <w:rsid w:val="004A2799"/>
    <w:rsid w:val="004A3748"/>
    <w:rsid w:val="004B2778"/>
    <w:rsid w:val="004B305F"/>
    <w:rsid w:val="004C51F1"/>
    <w:rsid w:val="004C6659"/>
    <w:rsid w:val="004C7DCE"/>
    <w:rsid w:val="004D2A79"/>
    <w:rsid w:val="004D2AFE"/>
    <w:rsid w:val="004D4CBF"/>
    <w:rsid w:val="004E113C"/>
    <w:rsid w:val="004E19A0"/>
    <w:rsid w:val="004E2499"/>
    <w:rsid w:val="004E3E2F"/>
    <w:rsid w:val="004E49AF"/>
    <w:rsid w:val="004E4AB4"/>
    <w:rsid w:val="004F24C3"/>
    <w:rsid w:val="004F24FA"/>
    <w:rsid w:val="004F27E6"/>
    <w:rsid w:val="004F2C1B"/>
    <w:rsid w:val="004F4DDB"/>
    <w:rsid w:val="004F7D2D"/>
    <w:rsid w:val="00500253"/>
    <w:rsid w:val="0050279E"/>
    <w:rsid w:val="00503591"/>
    <w:rsid w:val="00504335"/>
    <w:rsid w:val="00505322"/>
    <w:rsid w:val="00510414"/>
    <w:rsid w:val="00515BC1"/>
    <w:rsid w:val="005215EA"/>
    <w:rsid w:val="00521909"/>
    <w:rsid w:val="00532043"/>
    <w:rsid w:val="00536901"/>
    <w:rsid w:val="00536CEE"/>
    <w:rsid w:val="00541146"/>
    <w:rsid w:val="0054129F"/>
    <w:rsid w:val="00546CE3"/>
    <w:rsid w:val="00555192"/>
    <w:rsid w:val="00556D2B"/>
    <w:rsid w:val="0056632F"/>
    <w:rsid w:val="00567265"/>
    <w:rsid w:val="00575C7A"/>
    <w:rsid w:val="00577554"/>
    <w:rsid w:val="00580CA4"/>
    <w:rsid w:val="005815CC"/>
    <w:rsid w:val="005825B9"/>
    <w:rsid w:val="005831DB"/>
    <w:rsid w:val="00583553"/>
    <w:rsid w:val="005868E0"/>
    <w:rsid w:val="0058779F"/>
    <w:rsid w:val="00591CB2"/>
    <w:rsid w:val="00592817"/>
    <w:rsid w:val="00595947"/>
    <w:rsid w:val="00596A91"/>
    <w:rsid w:val="005A1936"/>
    <w:rsid w:val="005A53B6"/>
    <w:rsid w:val="005A7178"/>
    <w:rsid w:val="005B0582"/>
    <w:rsid w:val="005B2F77"/>
    <w:rsid w:val="005C127C"/>
    <w:rsid w:val="005C544D"/>
    <w:rsid w:val="005D40AF"/>
    <w:rsid w:val="005D443A"/>
    <w:rsid w:val="00610E72"/>
    <w:rsid w:val="006124DE"/>
    <w:rsid w:val="00616FA8"/>
    <w:rsid w:val="0062019E"/>
    <w:rsid w:val="00621B0F"/>
    <w:rsid w:val="00623683"/>
    <w:rsid w:val="00623ADE"/>
    <w:rsid w:val="00623B83"/>
    <w:rsid w:val="0062736A"/>
    <w:rsid w:val="00630293"/>
    <w:rsid w:val="00634710"/>
    <w:rsid w:val="006357C4"/>
    <w:rsid w:val="00641F73"/>
    <w:rsid w:val="006478C4"/>
    <w:rsid w:val="00655169"/>
    <w:rsid w:val="00662B5D"/>
    <w:rsid w:val="006660D8"/>
    <w:rsid w:val="00666C36"/>
    <w:rsid w:val="00666D9D"/>
    <w:rsid w:val="00667401"/>
    <w:rsid w:val="00667A91"/>
    <w:rsid w:val="006700AB"/>
    <w:rsid w:val="006701AE"/>
    <w:rsid w:val="00676527"/>
    <w:rsid w:val="006773E9"/>
    <w:rsid w:val="00680252"/>
    <w:rsid w:val="006807DA"/>
    <w:rsid w:val="00681133"/>
    <w:rsid w:val="00682E63"/>
    <w:rsid w:val="006832B5"/>
    <w:rsid w:val="0068330D"/>
    <w:rsid w:val="00683F9C"/>
    <w:rsid w:val="006861EC"/>
    <w:rsid w:val="00690D8E"/>
    <w:rsid w:val="00696308"/>
    <w:rsid w:val="00696BF8"/>
    <w:rsid w:val="006A06C9"/>
    <w:rsid w:val="006A0784"/>
    <w:rsid w:val="006A19DA"/>
    <w:rsid w:val="006A1C8A"/>
    <w:rsid w:val="006B3A6B"/>
    <w:rsid w:val="006B5CD6"/>
    <w:rsid w:val="006B6A67"/>
    <w:rsid w:val="006B6DDA"/>
    <w:rsid w:val="006C4806"/>
    <w:rsid w:val="006C62F0"/>
    <w:rsid w:val="006D3121"/>
    <w:rsid w:val="006D3F72"/>
    <w:rsid w:val="006D40DE"/>
    <w:rsid w:val="006E03FB"/>
    <w:rsid w:val="006F026A"/>
    <w:rsid w:val="006F2939"/>
    <w:rsid w:val="006F2C17"/>
    <w:rsid w:val="006F74BB"/>
    <w:rsid w:val="00700E4D"/>
    <w:rsid w:val="00705C4D"/>
    <w:rsid w:val="00707B32"/>
    <w:rsid w:val="00711F38"/>
    <w:rsid w:val="0071289A"/>
    <w:rsid w:val="00713675"/>
    <w:rsid w:val="00716597"/>
    <w:rsid w:val="007236E9"/>
    <w:rsid w:val="00727ACB"/>
    <w:rsid w:val="007312C3"/>
    <w:rsid w:val="00735F77"/>
    <w:rsid w:val="00742725"/>
    <w:rsid w:val="007433D5"/>
    <w:rsid w:val="00743D56"/>
    <w:rsid w:val="0074494C"/>
    <w:rsid w:val="007455DC"/>
    <w:rsid w:val="0075194A"/>
    <w:rsid w:val="007543F3"/>
    <w:rsid w:val="00754B62"/>
    <w:rsid w:val="00754E9E"/>
    <w:rsid w:val="00754F69"/>
    <w:rsid w:val="00757995"/>
    <w:rsid w:val="00760171"/>
    <w:rsid w:val="00762C14"/>
    <w:rsid w:val="00763E89"/>
    <w:rsid w:val="00765181"/>
    <w:rsid w:val="00772F2A"/>
    <w:rsid w:val="007738FD"/>
    <w:rsid w:val="007754F3"/>
    <w:rsid w:val="007765E2"/>
    <w:rsid w:val="00780E12"/>
    <w:rsid w:val="00783376"/>
    <w:rsid w:val="0078612D"/>
    <w:rsid w:val="00786A0B"/>
    <w:rsid w:val="00794452"/>
    <w:rsid w:val="00794D77"/>
    <w:rsid w:val="007A0B36"/>
    <w:rsid w:val="007A3A66"/>
    <w:rsid w:val="007A42C3"/>
    <w:rsid w:val="007A57AE"/>
    <w:rsid w:val="007A6A54"/>
    <w:rsid w:val="007A6C71"/>
    <w:rsid w:val="007A7524"/>
    <w:rsid w:val="007B1D32"/>
    <w:rsid w:val="007B3D0D"/>
    <w:rsid w:val="007B4679"/>
    <w:rsid w:val="007B4A43"/>
    <w:rsid w:val="007D11E6"/>
    <w:rsid w:val="007D7250"/>
    <w:rsid w:val="007D756F"/>
    <w:rsid w:val="007E00A0"/>
    <w:rsid w:val="007E0F51"/>
    <w:rsid w:val="007F2B79"/>
    <w:rsid w:val="008002EC"/>
    <w:rsid w:val="00801DD7"/>
    <w:rsid w:val="0080370B"/>
    <w:rsid w:val="00803779"/>
    <w:rsid w:val="00804B63"/>
    <w:rsid w:val="00806AD4"/>
    <w:rsid w:val="00806BD1"/>
    <w:rsid w:val="00811090"/>
    <w:rsid w:val="00814BB4"/>
    <w:rsid w:val="008179E0"/>
    <w:rsid w:val="0082192A"/>
    <w:rsid w:val="00822EAF"/>
    <w:rsid w:val="008270E7"/>
    <w:rsid w:val="00827F8B"/>
    <w:rsid w:val="008328C2"/>
    <w:rsid w:val="0083290A"/>
    <w:rsid w:val="008362D6"/>
    <w:rsid w:val="008412AA"/>
    <w:rsid w:val="00841843"/>
    <w:rsid w:val="0085158D"/>
    <w:rsid w:val="00855C66"/>
    <w:rsid w:val="00856C18"/>
    <w:rsid w:val="00856F17"/>
    <w:rsid w:val="00860FEB"/>
    <w:rsid w:val="00861A08"/>
    <w:rsid w:val="00861F56"/>
    <w:rsid w:val="00862CF3"/>
    <w:rsid w:val="008654AA"/>
    <w:rsid w:val="0087110A"/>
    <w:rsid w:val="00871774"/>
    <w:rsid w:val="00873F45"/>
    <w:rsid w:val="00881021"/>
    <w:rsid w:val="00882839"/>
    <w:rsid w:val="00884F54"/>
    <w:rsid w:val="008857E1"/>
    <w:rsid w:val="008921D7"/>
    <w:rsid w:val="0089222A"/>
    <w:rsid w:val="00892DD4"/>
    <w:rsid w:val="00896BAC"/>
    <w:rsid w:val="0089723C"/>
    <w:rsid w:val="008A5F48"/>
    <w:rsid w:val="008A6000"/>
    <w:rsid w:val="008B3D9D"/>
    <w:rsid w:val="008C1BCA"/>
    <w:rsid w:val="008C2B29"/>
    <w:rsid w:val="008C7D14"/>
    <w:rsid w:val="008F1E6C"/>
    <w:rsid w:val="008F710D"/>
    <w:rsid w:val="009019C4"/>
    <w:rsid w:val="00905418"/>
    <w:rsid w:val="00906CC0"/>
    <w:rsid w:val="00906CD4"/>
    <w:rsid w:val="00910399"/>
    <w:rsid w:val="00912BDC"/>
    <w:rsid w:val="00916892"/>
    <w:rsid w:val="00924BA4"/>
    <w:rsid w:val="0092562D"/>
    <w:rsid w:val="009261FE"/>
    <w:rsid w:val="009267F7"/>
    <w:rsid w:val="00927E6F"/>
    <w:rsid w:val="00932FD3"/>
    <w:rsid w:val="00936100"/>
    <w:rsid w:val="00936803"/>
    <w:rsid w:val="00942FF3"/>
    <w:rsid w:val="009511EE"/>
    <w:rsid w:val="009513D4"/>
    <w:rsid w:val="00951C9A"/>
    <w:rsid w:val="0095407D"/>
    <w:rsid w:val="00955B7E"/>
    <w:rsid w:val="0095714D"/>
    <w:rsid w:val="00957FA2"/>
    <w:rsid w:val="00960B75"/>
    <w:rsid w:val="00965E93"/>
    <w:rsid w:val="00971689"/>
    <w:rsid w:val="00972878"/>
    <w:rsid w:val="009734EA"/>
    <w:rsid w:val="00973E90"/>
    <w:rsid w:val="009746FF"/>
    <w:rsid w:val="00974DBA"/>
    <w:rsid w:val="00980177"/>
    <w:rsid w:val="00984746"/>
    <w:rsid w:val="009913D9"/>
    <w:rsid w:val="00992564"/>
    <w:rsid w:val="00997D09"/>
    <w:rsid w:val="00997D87"/>
    <w:rsid w:val="009A60E6"/>
    <w:rsid w:val="009A754F"/>
    <w:rsid w:val="009B2D77"/>
    <w:rsid w:val="009B6F58"/>
    <w:rsid w:val="009C0C59"/>
    <w:rsid w:val="009C2A93"/>
    <w:rsid w:val="009C34DF"/>
    <w:rsid w:val="009C74C8"/>
    <w:rsid w:val="009D0B48"/>
    <w:rsid w:val="009D20BD"/>
    <w:rsid w:val="009D41CC"/>
    <w:rsid w:val="009D4784"/>
    <w:rsid w:val="009D788B"/>
    <w:rsid w:val="009E29F6"/>
    <w:rsid w:val="009E3096"/>
    <w:rsid w:val="009E313A"/>
    <w:rsid w:val="009E5991"/>
    <w:rsid w:val="009E5EFC"/>
    <w:rsid w:val="009E7356"/>
    <w:rsid w:val="009F032B"/>
    <w:rsid w:val="009F5383"/>
    <w:rsid w:val="009F5D5C"/>
    <w:rsid w:val="009F6C2F"/>
    <w:rsid w:val="009F6EBE"/>
    <w:rsid w:val="00A0008C"/>
    <w:rsid w:val="00A002C6"/>
    <w:rsid w:val="00A01B56"/>
    <w:rsid w:val="00A03BF5"/>
    <w:rsid w:val="00A06206"/>
    <w:rsid w:val="00A130F2"/>
    <w:rsid w:val="00A13468"/>
    <w:rsid w:val="00A16459"/>
    <w:rsid w:val="00A17C97"/>
    <w:rsid w:val="00A23817"/>
    <w:rsid w:val="00A26B1D"/>
    <w:rsid w:val="00A26EB9"/>
    <w:rsid w:val="00A272EB"/>
    <w:rsid w:val="00A31DA1"/>
    <w:rsid w:val="00A425BE"/>
    <w:rsid w:val="00A42825"/>
    <w:rsid w:val="00A42981"/>
    <w:rsid w:val="00A47D0E"/>
    <w:rsid w:val="00A47D4F"/>
    <w:rsid w:val="00A51C40"/>
    <w:rsid w:val="00A5392D"/>
    <w:rsid w:val="00A554BD"/>
    <w:rsid w:val="00A562BE"/>
    <w:rsid w:val="00A60415"/>
    <w:rsid w:val="00A60743"/>
    <w:rsid w:val="00A60C9E"/>
    <w:rsid w:val="00A65183"/>
    <w:rsid w:val="00A672AD"/>
    <w:rsid w:val="00A74976"/>
    <w:rsid w:val="00A76448"/>
    <w:rsid w:val="00A82F48"/>
    <w:rsid w:val="00A83318"/>
    <w:rsid w:val="00A85ACF"/>
    <w:rsid w:val="00A91557"/>
    <w:rsid w:val="00A92D8F"/>
    <w:rsid w:val="00A95CC4"/>
    <w:rsid w:val="00AA3560"/>
    <w:rsid w:val="00AA47E3"/>
    <w:rsid w:val="00AA51AB"/>
    <w:rsid w:val="00AA6D3D"/>
    <w:rsid w:val="00AA7031"/>
    <w:rsid w:val="00AB27A1"/>
    <w:rsid w:val="00AB47B3"/>
    <w:rsid w:val="00AB5439"/>
    <w:rsid w:val="00AB72D4"/>
    <w:rsid w:val="00AC57AA"/>
    <w:rsid w:val="00AC5879"/>
    <w:rsid w:val="00AD051D"/>
    <w:rsid w:val="00AD3292"/>
    <w:rsid w:val="00AD3A96"/>
    <w:rsid w:val="00AD4B30"/>
    <w:rsid w:val="00AD51EA"/>
    <w:rsid w:val="00AD69CF"/>
    <w:rsid w:val="00AE0936"/>
    <w:rsid w:val="00AE42A5"/>
    <w:rsid w:val="00AE57D3"/>
    <w:rsid w:val="00AF6004"/>
    <w:rsid w:val="00B01938"/>
    <w:rsid w:val="00B02885"/>
    <w:rsid w:val="00B0525F"/>
    <w:rsid w:val="00B13809"/>
    <w:rsid w:val="00B143EE"/>
    <w:rsid w:val="00B14702"/>
    <w:rsid w:val="00B17775"/>
    <w:rsid w:val="00B17B97"/>
    <w:rsid w:val="00B25936"/>
    <w:rsid w:val="00B304AE"/>
    <w:rsid w:val="00B30982"/>
    <w:rsid w:val="00B328FE"/>
    <w:rsid w:val="00B3755F"/>
    <w:rsid w:val="00B42517"/>
    <w:rsid w:val="00B45E62"/>
    <w:rsid w:val="00B547E5"/>
    <w:rsid w:val="00B55306"/>
    <w:rsid w:val="00B55E36"/>
    <w:rsid w:val="00B60A33"/>
    <w:rsid w:val="00B6302D"/>
    <w:rsid w:val="00B64B45"/>
    <w:rsid w:val="00B655F6"/>
    <w:rsid w:val="00B66F74"/>
    <w:rsid w:val="00B7453C"/>
    <w:rsid w:val="00B75B6F"/>
    <w:rsid w:val="00B761E0"/>
    <w:rsid w:val="00B7765B"/>
    <w:rsid w:val="00B811EE"/>
    <w:rsid w:val="00B85936"/>
    <w:rsid w:val="00B85D34"/>
    <w:rsid w:val="00B8768C"/>
    <w:rsid w:val="00B90692"/>
    <w:rsid w:val="00B96363"/>
    <w:rsid w:val="00BA04C6"/>
    <w:rsid w:val="00BA06BE"/>
    <w:rsid w:val="00BB09E0"/>
    <w:rsid w:val="00BB1284"/>
    <w:rsid w:val="00BB340A"/>
    <w:rsid w:val="00BB4B8E"/>
    <w:rsid w:val="00BB65FC"/>
    <w:rsid w:val="00BC1E43"/>
    <w:rsid w:val="00BC5825"/>
    <w:rsid w:val="00BC6021"/>
    <w:rsid w:val="00BD0747"/>
    <w:rsid w:val="00BD611B"/>
    <w:rsid w:val="00BD663A"/>
    <w:rsid w:val="00BE13A4"/>
    <w:rsid w:val="00BE2BF0"/>
    <w:rsid w:val="00BF13E2"/>
    <w:rsid w:val="00BF18BA"/>
    <w:rsid w:val="00BF3BA0"/>
    <w:rsid w:val="00BF5DD2"/>
    <w:rsid w:val="00C00272"/>
    <w:rsid w:val="00C007A4"/>
    <w:rsid w:val="00C020DE"/>
    <w:rsid w:val="00C05028"/>
    <w:rsid w:val="00C11732"/>
    <w:rsid w:val="00C13484"/>
    <w:rsid w:val="00C23577"/>
    <w:rsid w:val="00C27960"/>
    <w:rsid w:val="00C33EE4"/>
    <w:rsid w:val="00C34216"/>
    <w:rsid w:val="00C34D46"/>
    <w:rsid w:val="00C42F52"/>
    <w:rsid w:val="00C47E05"/>
    <w:rsid w:val="00C5415F"/>
    <w:rsid w:val="00C61146"/>
    <w:rsid w:val="00C64500"/>
    <w:rsid w:val="00C70CB5"/>
    <w:rsid w:val="00C70F05"/>
    <w:rsid w:val="00C724BE"/>
    <w:rsid w:val="00C7785F"/>
    <w:rsid w:val="00C77F2B"/>
    <w:rsid w:val="00C80CA3"/>
    <w:rsid w:val="00C86883"/>
    <w:rsid w:val="00C92529"/>
    <w:rsid w:val="00C93C92"/>
    <w:rsid w:val="00C976DC"/>
    <w:rsid w:val="00CA243D"/>
    <w:rsid w:val="00CA3D99"/>
    <w:rsid w:val="00CA5718"/>
    <w:rsid w:val="00CA7DB7"/>
    <w:rsid w:val="00CB0A9E"/>
    <w:rsid w:val="00CB232E"/>
    <w:rsid w:val="00CB2836"/>
    <w:rsid w:val="00CB6EC1"/>
    <w:rsid w:val="00CC03C4"/>
    <w:rsid w:val="00CD579C"/>
    <w:rsid w:val="00CD73F1"/>
    <w:rsid w:val="00CE2840"/>
    <w:rsid w:val="00CF0F59"/>
    <w:rsid w:val="00CF217D"/>
    <w:rsid w:val="00CF42FE"/>
    <w:rsid w:val="00CF7AF9"/>
    <w:rsid w:val="00D07C7A"/>
    <w:rsid w:val="00D11113"/>
    <w:rsid w:val="00D11341"/>
    <w:rsid w:val="00D11C47"/>
    <w:rsid w:val="00D130C4"/>
    <w:rsid w:val="00D134FB"/>
    <w:rsid w:val="00D22079"/>
    <w:rsid w:val="00D22095"/>
    <w:rsid w:val="00D225D0"/>
    <w:rsid w:val="00D22950"/>
    <w:rsid w:val="00D23E77"/>
    <w:rsid w:val="00D2611F"/>
    <w:rsid w:val="00D27EB2"/>
    <w:rsid w:val="00D3014A"/>
    <w:rsid w:val="00D34175"/>
    <w:rsid w:val="00D35D16"/>
    <w:rsid w:val="00D3649C"/>
    <w:rsid w:val="00D40E48"/>
    <w:rsid w:val="00D45260"/>
    <w:rsid w:val="00D45CEB"/>
    <w:rsid w:val="00D516A4"/>
    <w:rsid w:val="00D521CD"/>
    <w:rsid w:val="00D52B4C"/>
    <w:rsid w:val="00D55928"/>
    <w:rsid w:val="00D620EC"/>
    <w:rsid w:val="00D6353D"/>
    <w:rsid w:val="00D6433A"/>
    <w:rsid w:val="00D6456D"/>
    <w:rsid w:val="00D652DD"/>
    <w:rsid w:val="00D661E9"/>
    <w:rsid w:val="00D665FA"/>
    <w:rsid w:val="00D71974"/>
    <w:rsid w:val="00D73333"/>
    <w:rsid w:val="00D7495D"/>
    <w:rsid w:val="00D77DA6"/>
    <w:rsid w:val="00D826ED"/>
    <w:rsid w:val="00D841DE"/>
    <w:rsid w:val="00D84DD2"/>
    <w:rsid w:val="00D878A7"/>
    <w:rsid w:val="00D9450B"/>
    <w:rsid w:val="00D963F9"/>
    <w:rsid w:val="00D968E1"/>
    <w:rsid w:val="00D96D79"/>
    <w:rsid w:val="00DA45EE"/>
    <w:rsid w:val="00DB3425"/>
    <w:rsid w:val="00DC0DE2"/>
    <w:rsid w:val="00DC1804"/>
    <w:rsid w:val="00DC60B3"/>
    <w:rsid w:val="00DC6EC7"/>
    <w:rsid w:val="00DD067D"/>
    <w:rsid w:val="00DD1C31"/>
    <w:rsid w:val="00DD5932"/>
    <w:rsid w:val="00DD6EC4"/>
    <w:rsid w:val="00DE1930"/>
    <w:rsid w:val="00DE2617"/>
    <w:rsid w:val="00DF7275"/>
    <w:rsid w:val="00E01F42"/>
    <w:rsid w:val="00E03C2F"/>
    <w:rsid w:val="00E03E60"/>
    <w:rsid w:val="00E04657"/>
    <w:rsid w:val="00E050F1"/>
    <w:rsid w:val="00E05F8B"/>
    <w:rsid w:val="00E06C4D"/>
    <w:rsid w:val="00E07DC4"/>
    <w:rsid w:val="00E10F8A"/>
    <w:rsid w:val="00E16D8F"/>
    <w:rsid w:val="00E170EC"/>
    <w:rsid w:val="00E17B8D"/>
    <w:rsid w:val="00E210E3"/>
    <w:rsid w:val="00E224F5"/>
    <w:rsid w:val="00E22FF0"/>
    <w:rsid w:val="00E23933"/>
    <w:rsid w:val="00E261A4"/>
    <w:rsid w:val="00E303C0"/>
    <w:rsid w:val="00E32628"/>
    <w:rsid w:val="00E3684B"/>
    <w:rsid w:val="00E368CE"/>
    <w:rsid w:val="00E447E7"/>
    <w:rsid w:val="00E44FE4"/>
    <w:rsid w:val="00E46CA2"/>
    <w:rsid w:val="00E509D1"/>
    <w:rsid w:val="00E52B26"/>
    <w:rsid w:val="00E561B3"/>
    <w:rsid w:val="00E60C05"/>
    <w:rsid w:val="00E60F64"/>
    <w:rsid w:val="00E61237"/>
    <w:rsid w:val="00E62BF5"/>
    <w:rsid w:val="00E64AF1"/>
    <w:rsid w:val="00E65E6E"/>
    <w:rsid w:val="00E65F8C"/>
    <w:rsid w:val="00E65FE9"/>
    <w:rsid w:val="00E71090"/>
    <w:rsid w:val="00E714E1"/>
    <w:rsid w:val="00E7441D"/>
    <w:rsid w:val="00E9084B"/>
    <w:rsid w:val="00E91A7D"/>
    <w:rsid w:val="00E94D6F"/>
    <w:rsid w:val="00E966C2"/>
    <w:rsid w:val="00E96A18"/>
    <w:rsid w:val="00EA0D58"/>
    <w:rsid w:val="00EA0DB1"/>
    <w:rsid w:val="00EA3D77"/>
    <w:rsid w:val="00EA4976"/>
    <w:rsid w:val="00EA551A"/>
    <w:rsid w:val="00EB070E"/>
    <w:rsid w:val="00EB51AA"/>
    <w:rsid w:val="00EB7825"/>
    <w:rsid w:val="00EC1A2C"/>
    <w:rsid w:val="00EC255C"/>
    <w:rsid w:val="00EC2B22"/>
    <w:rsid w:val="00EC3ED5"/>
    <w:rsid w:val="00EC518E"/>
    <w:rsid w:val="00EC6410"/>
    <w:rsid w:val="00ED1587"/>
    <w:rsid w:val="00ED51C6"/>
    <w:rsid w:val="00ED7CF0"/>
    <w:rsid w:val="00EE67D8"/>
    <w:rsid w:val="00EF014D"/>
    <w:rsid w:val="00EF2C26"/>
    <w:rsid w:val="00EF357F"/>
    <w:rsid w:val="00EF42EF"/>
    <w:rsid w:val="00EF4D96"/>
    <w:rsid w:val="00EF6B2F"/>
    <w:rsid w:val="00F03D83"/>
    <w:rsid w:val="00F0449B"/>
    <w:rsid w:val="00F076EF"/>
    <w:rsid w:val="00F10F03"/>
    <w:rsid w:val="00F11BBD"/>
    <w:rsid w:val="00F1446A"/>
    <w:rsid w:val="00F159D2"/>
    <w:rsid w:val="00F17238"/>
    <w:rsid w:val="00F2054F"/>
    <w:rsid w:val="00F26864"/>
    <w:rsid w:val="00F27A9B"/>
    <w:rsid w:val="00F31CAA"/>
    <w:rsid w:val="00F3249C"/>
    <w:rsid w:val="00F32BDE"/>
    <w:rsid w:val="00F35A8D"/>
    <w:rsid w:val="00F4105A"/>
    <w:rsid w:val="00F4367A"/>
    <w:rsid w:val="00F50B3B"/>
    <w:rsid w:val="00F54800"/>
    <w:rsid w:val="00F57EC1"/>
    <w:rsid w:val="00F7411B"/>
    <w:rsid w:val="00F752C1"/>
    <w:rsid w:val="00F75A8C"/>
    <w:rsid w:val="00F7606D"/>
    <w:rsid w:val="00F76449"/>
    <w:rsid w:val="00F82C99"/>
    <w:rsid w:val="00F82E2F"/>
    <w:rsid w:val="00F8435C"/>
    <w:rsid w:val="00F87AC6"/>
    <w:rsid w:val="00FA4D53"/>
    <w:rsid w:val="00FA624C"/>
    <w:rsid w:val="00FA73BE"/>
    <w:rsid w:val="00FB142C"/>
    <w:rsid w:val="00FB6959"/>
    <w:rsid w:val="00FB6B03"/>
    <w:rsid w:val="00FB75D1"/>
    <w:rsid w:val="00FC2A35"/>
    <w:rsid w:val="00FC2EA6"/>
    <w:rsid w:val="00FC37CD"/>
    <w:rsid w:val="00FC6122"/>
    <w:rsid w:val="00FD4F93"/>
    <w:rsid w:val="00FE58DB"/>
    <w:rsid w:val="00FF10A7"/>
    <w:rsid w:val="00FF3CBD"/>
    <w:rsid w:val="00FF5C18"/>
    <w:rsid w:val="00FF617F"/>
    <w:rsid w:val="00FF73B2"/>
    <w:rsid w:val="010A98D1"/>
    <w:rsid w:val="012D3A9E"/>
    <w:rsid w:val="0180B2D2"/>
    <w:rsid w:val="01AF8719"/>
    <w:rsid w:val="0243B5C6"/>
    <w:rsid w:val="025FBE59"/>
    <w:rsid w:val="0326A0B5"/>
    <w:rsid w:val="03FA51F1"/>
    <w:rsid w:val="044A09D3"/>
    <w:rsid w:val="04A8BCF7"/>
    <w:rsid w:val="04FEEF65"/>
    <w:rsid w:val="05273A7F"/>
    <w:rsid w:val="0644674D"/>
    <w:rsid w:val="069EB3CD"/>
    <w:rsid w:val="07409ADB"/>
    <w:rsid w:val="07999477"/>
    <w:rsid w:val="07C1C7E4"/>
    <w:rsid w:val="07CB2857"/>
    <w:rsid w:val="07E58E6D"/>
    <w:rsid w:val="087AC629"/>
    <w:rsid w:val="08F2C681"/>
    <w:rsid w:val="0A14FD85"/>
    <w:rsid w:val="0A25353B"/>
    <w:rsid w:val="0A4742BD"/>
    <w:rsid w:val="0AD1757B"/>
    <w:rsid w:val="0ADF8A3F"/>
    <w:rsid w:val="0AF45CFF"/>
    <w:rsid w:val="0B3E7992"/>
    <w:rsid w:val="0B5A951E"/>
    <w:rsid w:val="0BC870DA"/>
    <w:rsid w:val="0BFFB71F"/>
    <w:rsid w:val="0C1C8537"/>
    <w:rsid w:val="0C4CA775"/>
    <w:rsid w:val="0CC6C10E"/>
    <w:rsid w:val="0CD6F074"/>
    <w:rsid w:val="0CF6657F"/>
    <w:rsid w:val="0EE1B559"/>
    <w:rsid w:val="0EE1CC7C"/>
    <w:rsid w:val="0F98D083"/>
    <w:rsid w:val="0FFD5B75"/>
    <w:rsid w:val="10445BDF"/>
    <w:rsid w:val="1054BD58"/>
    <w:rsid w:val="1069B488"/>
    <w:rsid w:val="108BE1F2"/>
    <w:rsid w:val="11B0AE45"/>
    <w:rsid w:val="11B209F3"/>
    <w:rsid w:val="11CCF65A"/>
    <w:rsid w:val="12095E7A"/>
    <w:rsid w:val="1260E8CC"/>
    <w:rsid w:val="12E0D524"/>
    <w:rsid w:val="12EAD265"/>
    <w:rsid w:val="131EC9BD"/>
    <w:rsid w:val="133B296E"/>
    <w:rsid w:val="136AA7AE"/>
    <w:rsid w:val="138029A1"/>
    <w:rsid w:val="142669F0"/>
    <w:rsid w:val="143C42B9"/>
    <w:rsid w:val="16B0F5AC"/>
    <w:rsid w:val="1718125D"/>
    <w:rsid w:val="17D01750"/>
    <w:rsid w:val="18641C6F"/>
    <w:rsid w:val="18A94785"/>
    <w:rsid w:val="18E03489"/>
    <w:rsid w:val="18F482E1"/>
    <w:rsid w:val="19138F5A"/>
    <w:rsid w:val="191F58C3"/>
    <w:rsid w:val="192ED09D"/>
    <w:rsid w:val="1A4AD791"/>
    <w:rsid w:val="1AA2D91D"/>
    <w:rsid w:val="1BC2F937"/>
    <w:rsid w:val="1C6A2EF7"/>
    <w:rsid w:val="1C73AA0B"/>
    <w:rsid w:val="1D731A4B"/>
    <w:rsid w:val="1D7BF453"/>
    <w:rsid w:val="1D99D45D"/>
    <w:rsid w:val="1DED5614"/>
    <w:rsid w:val="202FA514"/>
    <w:rsid w:val="210BCF16"/>
    <w:rsid w:val="214D9325"/>
    <w:rsid w:val="21712036"/>
    <w:rsid w:val="223B6C62"/>
    <w:rsid w:val="228DF50F"/>
    <w:rsid w:val="22E1B3BC"/>
    <w:rsid w:val="23A66A6F"/>
    <w:rsid w:val="24892461"/>
    <w:rsid w:val="24A07D3F"/>
    <w:rsid w:val="2544B3D5"/>
    <w:rsid w:val="25D8320B"/>
    <w:rsid w:val="261F832A"/>
    <w:rsid w:val="2624F4C2"/>
    <w:rsid w:val="264A64B3"/>
    <w:rsid w:val="265DE671"/>
    <w:rsid w:val="2667FE74"/>
    <w:rsid w:val="275E5734"/>
    <w:rsid w:val="276C972E"/>
    <w:rsid w:val="28D91D7A"/>
    <w:rsid w:val="2998377C"/>
    <w:rsid w:val="2A94194D"/>
    <w:rsid w:val="2AA55861"/>
    <w:rsid w:val="2AB744E4"/>
    <w:rsid w:val="2AC57195"/>
    <w:rsid w:val="2AEFCB0A"/>
    <w:rsid w:val="2BE15288"/>
    <w:rsid w:val="2BFB3202"/>
    <w:rsid w:val="2C11FD70"/>
    <w:rsid w:val="2C5D8D9B"/>
    <w:rsid w:val="2C621238"/>
    <w:rsid w:val="2C88FF74"/>
    <w:rsid w:val="2E0A3CE8"/>
    <w:rsid w:val="2E1254DA"/>
    <w:rsid w:val="2EC91F57"/>
    <w:rsid w:val="2F3489F8"/>
    <w:rsid w:val="2F7EC526"/>
    <w:rsid w:val="2FD30D7F"/>
    <w:rsid w:val="2FF0AF81"/>
    <w:rsid w:val="304DEFE8"/>
    <w:rsid w:val="31522B7C"/>
    <w:rsid w:val="31577877"/>
    <w:rsid w:val="31B9BCBA"/>
    <w:rsid w:val="31C343A7"/>
    <w:rsid w:val="32220DC9"/>
    <w:rsid w:val="329256BE"/>
    <w:rsid w:val="32B6D449"/>
    <w:rsid w:val="334A3C2F"/>
    <w:rsid w:val="33F1139F"/>
    <w:rsid w:val="356B4993"/>
    <w:rsid w:val="35B4F7CE"/>
    <w:rsid w:val="3629E2C1"/>
    <w:rsid w:val="36430612"/>
    <w:rsid w:val="3733FBB9"/>
    <w:rsid w:val="37369F33"/>
    <w:rsid w:val="37544DF1"/>
    <w:rsid w:val="37DED673"/>
    <w:rsid w:val="37FB5F15"/>
    <w:rsid w:val="3809BF98"/>
    <w:rsid w:val="38662D88"/>
    <w:rsid w:val="389F180E"/>
    <w:rsid w:val="3926D1F3"/>
    <w:rsid w:val="395C7BB7"/>
    <w:rsid w:val="3A19CC93"/>
    <w:rsid w:val="3B03D53B"/>
    <w:rsid w:val="3B6CAC50"/>
    <w:rsid w:val="3BB21255"/>
    <w:rsid w:val="3BE917EE"/>
    <w:rsid w:val="3C6F5E27"/>
    <w:rsid w:val="3CEDE98E"/>
    <w:rsid w:val="3D0F461B"/>
    <w:rsid w:val="3DC02E2E"/>
    <w:rsid w:val="3F3A49E4"/>
    <w:rsid w:val="3F98C32A"/>
    <w:rsid w:val="411BB6DB"/>
    <w:rsid w:val="4139D15E"/>
    <w:rsid w:val="416C9D6F"/>
    <w:rsid w:val="41D468F9"/>
    <w:rsid w:val="4251C269"/>
    <w:rsid w:val="42D5A1BF"/>
    <w:rsid w:val="4319E9C7"/>
    <w:rsid w:val="43833B7C"/>
    <w:rsid w:val="4387B4E7"/>
    <w:rsid w:val="44095512"/>
    <w:rsid w:val="442CDFD8"/>
    <w:rsid w:val="44300A68"/>
    <w:rsid w:val="4447C254"/>
    <w:rsid w:val="449B9D74"/>
    <w:rsid w:val="44CE283C"/>
    <w:rsid w:val="44FDE480"/>
    <w:rsid w:val="4604C105"/>
    <w:rsid w:val="4607E8AA"/>
    <w:rsid w:val="464A4BF7"/>
    <w:rsid w:val="467C6B73"/>
    <w:rsid w:val="46FCB9DD"/>
    <w:rsid w:val="47748946"/>
    <w:rsid w:val="47A912E2"/>
    <w:rsid w:val="47AAD2E9"/>
    <w:rsid w:val="47EC26E8"/>
    <w:rsid w:val="487FB1F6"/>
    <w:rsid w:val="48DD66B0"/>
    <w:rsid w:val="49483C75"/>
    <w:rsid w:val="499702C9"/>
    <w:rsid w:val="4A23B420"/>
    <w:rsid w:val="4A4F46FD"/>
    <w:rsid w:val="4A616877"/>
    <w:rsid w:val="4A712359"/>
    <w:rsid w:val="4AD5126E"/>
    <w:rsid w:val="4AE575AA"/>
    <w:rsid w:val="4B904E3C"/>
    <w:rsid w:val="4C04987E"/>
    <w:rsid w:val="4C0E9ED9"/>
    <w:rsid w:val="4C5DE7FB"/>
    <w:rsid w:val="4C5ED461"/>
    <w:rsid w:val="4CC57582"/>
    <w:rsid w:val="4D8F07EB"/>
    <w:rsid w:val="4E30ECC1"/>
    <w:rsid w:val="4E8D7029"/>
    <w:rsid w:val="4ECBE341"/>
    <w:rsid w:val="4ED2F639"/>
    <w:rsid w:val="4F2AA0B7"/>
    <w:rsid w:val="4F8F6273"/>
    <w:rsid w:val="501C3944"/>
    <w:rsid w:val="50985E36"/>
    <w:rsid w:val="50A521DC"/>
    <w:rsid w:val="50CFE318"/>
    <w:rsid w:val="51AA71AA"/>
    <w:rsid w:val="5220AED9"/>
    <w:rsid w:val="52548014"/>
    <w:rsid w:val="526A9F39"/>
    <w:rsid w:val="526CEE51"/>
    <w:rsid w:val="53C9A66A"/>
    <w:rsid w:val="55975D87"/>
    <w:rsid w:val="5673A558"/>
    <w:rsid w:val="5684139C"/>
    <w:rsid w:val="56CB6EC1"/>
    <w:rsid w:val="5782D9EB"/>
    <w:rsid w:val="579198C7"/>
    <w:rsid w:val="58710D38"/>
    <w:rsid w:val="58B7FA4A"/>
    <w:rsid w:val="598F8C73"/>
    <w:rsid w:val="59D427D7"/>
    <w:rsid w:val="5A9EF170"/>
    <w:rsid w:val="5AC371DF"/>
    <w:rsid w:val="5BF1B269"/>
    <w:rsid w:val="5CF16126"/>
    <w:rsid w:val="5D14ED1C"/>
    <w:rsid w:val="5DE5C845"/>
    <w:rsid w:val="5EFC8BC5"/>
    <w:rsid w:val="5F0A2910"/>
    <w:rsid w:val="5F3CED83"/>
    <w:rsid w:val="5F4A8250"/>
    <w:rsid w:val="5F505A56"/>
    <w:rsid w:val="5FC44293"/>
    <w:rsid w:val="5FE7AB69"/>
    <w:rsid w:val="603FDF74"/>
    <w:rsid w:val="60E90FCD"/>
    <w:rsid w:val="61A814DC"/>
    <w:rsid w:val="62168AA9"/>
    <w:rsid w:val="6240B388"/>
    <w:rsid w:val="62993A9B"/>
    <w:rsid w:val="6361AF4B"/>
    <w:rsid w:val="650EBE32"/>
    <w:rsid w:val="6578544A"/>
    <w:rsid w:val="657AF8E5"/>
    <w:rsid w:val="657D7B6A"/>
    <w:rsid w:val="65EF0FAE"/>
    <w:rsid w:val="666A34DD"/>
    <w:rsid w:val="66CED6AA"/>
    <w:rsid w:val="6772EFA1"/>
    <w:rsid w:val="67C15F1E"/>
    <w:rsid w:val="67C39D57"/>
    <w:rsid w:val="6846CBB8"/>
    <w:rsid w:val="6ABA7E4A"/>
    <w:rsid w:val="6AED6FDD"/>
    <w:rsid w:val="6B07C7A0"/>
    <w:rsid w:val="6B3F27D9"/>
    <w:rsid w:val="6B5DA5C7"/>
    <w:rsid w:val="6B7B28C6"/>
    <w:rsid w:val="6C7AE9DA"/>
    <w:rsid w:val="6CB225E5"/>
    <w:rsid w:val="6E14661B"/>
    <w:rsid w:val="6E9EC9CF"/>
    <w:rsid w:val="6EF1DF35"/>
    <w:rsid w:val="6F5E0179"/>
    <w:rsid w:val="6FDE548A"/>
    <w:rsid w:val="701CF477"/>
    <w:rsid w:val="70842D23"/>
    <w:rsid w:val="70D3BC70"/>
    <w:rsid w:val="70EBD20B"/>
    <w:rsid w:val="710808FD"/>
    <w:rsid w:val="719A78C8"/>
    <w:rsid w:val="7222BDF0"/>
    <w:rsid w:val="724A7E7E"/>
    <w:rsid w:val="72E51AAA"/>
    <w:rsid w:val="72E8A469"/>
    <w:rsid w:val="7300848F"/>
    <w:rsid w:val="73052AB0"/>
    <w:rsid w:val="730D4E42"/>
    <w:rsid w:val="7344561F"/>
    <w:rsid w:val="734CAECF"/>
    <w:rsid w:val="73985790"/>
    <w:rsid w:val="73DAEAC3"/>
    <w:rsid w:val="74D903A5"/>
    <w:rsid w:val="75353641"/>
    <w:rsid w:val="75A34998"/>
    <w:rsid w:val="763AF0D2"/>
    <w:rsid w:val="76949690"/>
    <w:rsid w:val="76AEA5DE"/>
    <w:rsid w:val="76C2A5B0"/>
    <w:rsid w:val="76F82EB2"/>
    <w:rsid w:val="77D0A0DA"/>
    <w:rsid w:val="7822AA49"/>
    <w:rsid w:val="7843C48A"/>
    <w:rsid w:val="78F74A34"/>
    <w:rsid w:val="79FA4672"/>
    <w:rsid w:val="7A10AB81"/>
    <w:rsid w:val="7A7BE095"/>
    <w:rsid w:val="7AAAD8DE"/>
    <w:rsid w:val="7B2C6AA2"/>
    <w:rsid w:val="7B35774A"/>
    <w:rsid w:val="7CE6FF85"/>
    <w:rsid w:val="7DED7209"/>
    <w:rsid w:val="7EA77DA6"/>
    <w:rsid w:val="7EDF8D3B"/>
    <w:rsid w:val="7EF85065"/>
    <w:rsid w:val="7F17E7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E43937"/>
  <w15:docId w15:val="{F4EF1474-9FA5-48B7-931F-FA5C0D3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484"/>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rsid w:val="00713675"/>
    <w:rPr>
      <w:color w:val="0000FF"/>
      <w:u w:val="single"/>
    </w:rPr>
  </w:style>
  <w:style w:type="table" w:styleId="TableGrid">
    <w:name w:val="Table Grid"/>
    <w:basedOn w:val="TableNormal"/>
    <w:uiPriority w:val="59"/>
    <w:rsid w:val="0011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621B0F"/>
    <w:rPr>
      <w:rFonts w:ascii="Times New Roman" w:hAnsi="Times New Roman"/>
      <w:sz w:val="20"/>
      <w:szCs w:val="20"/>
      <w:lang w:eastAsia="en-GB"/>
    </w:rPr>
  </w:style>
  <w:style w:type="character" w:styleId="FootnoteReference">
    <w:name w:val="footnote reference"/>
    <w:uiPriority w:val="99"/>
    <w:semiHidden/>
    <w:rsid w:val="00621B0F"/>
    <w:rPr>
      <w:vertAlign w:val="superscript"/>
    </w:rPr>
  </w:style>
  <w:style w:type="paragraph" w:customStyle="1" w:styleId="legp2paratext1">
    <w:name w:val="legp2paratext1"/>
    <w:basedOn w:val="Normal"/>
    <w:rsid w:val="00621B0F"/>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legp2text1">
    <w:name w:val="legp2text1"/>
    <w:basedOn w:val="Normal"/>
    <w:rsid w:val="00621B0F"/>
    <w:pPr>
      <w:shd w:val="clear" w:color="auto" w:fill="FFFFFF"/>
      <w:spacing w:after="120" w:line="360" w:lineRule="atLeast"/>
      <w:jc w:val="both"/>
    </w:pPr>
    <w:rPr>
      <w:rFonts w:ascii="Times New Roman" w:hAnsi="Times New Roman"/>
      <w:color w:val="000000"/>
      <w:sz w:val="19"/>
      <w:szCs w:val="19"/>
      <w:lang w:eastAsia="en-GB"/>
    </w:rPr>
  </w:style>
  <w:style w:type="character" w:customStyle="1" w:styleId="legdsleglhslegp3no">
    <w:name w:val="legds leglhs legp3no"/>
    <w:basedOn w:val="DefaultParagraphFont"/>
    <w:rsid w:val="00621B0F"/>
  </w:style>
  <w:style w:type="character" w:customStyle="1" w:styleId="legdslegrhslegp3text">
    <w:name w:val="legds legrhs legp3text"/>
    <w:basedOn w:val="DefaultParagraphFont"/>
    <w:rsid w:val="00621B0F"/>
  </w:style>
  <w:style w:type="character" w:styleId="Strong">
    <w:name w:val="Strong"/>
    <w:qFormat/>
    <w:rsid w:val="00621B0F"/>
    <w:rPr>
      <w:b/>
      <w:bCs/>
    </w:rPr>
  </w:style>
  <w:style w:type="paragraph" w:customStyle="1" w:styleId="legp1paratext1">
    <w:name w:val="legp1paratext1"/>
    <w:basedOn w:val="Normal"/>
    <w:rsid w:val="00E16D8F"/>
    <w:pPr>
      <w:shd w:val="clear" w:color="auto" w:fill="FFFFFF"/>
      <w:spacing w:after="120" w:line="360" w:lineRule="atLeast"/>
      <w:ind w:firstLine="240"/>
      <w:jc w:val="both"/>
    </w:pPr>
    <w:rPr>
      <w:rFonts w:ascii="Times New Roman" w:hAnsi="Times New Roman"/>
      <w:color w:val="000000"/>
      <w:sz w:val="19"/>
      <w:szCs w:val="19"/>
      <w:lang w:eastAsia="en-GB"/>
    </w:rPr>
  </w:style>
  <w:style w:type="character" w:customStyle="1" w:styleId="ennote">
    <w:name w:val="ennote"/>
    <w:basedOn w:val="DefaultParagraphFont"/>
    <w:rsid w:val="00E16D8F"/>
  </w:style>
  <w:style w:type="character" w:customStyle="1" w:styleId="legp1no3">
    <w:name w:val="legp1no3"/>
    <w:rsid w:val="00E16D8F"/>
    <w:rPr>
      <w:b/>
      <w:bCs/>
    </w:rPr>
  </w:style>
  <w:style w:type="paragraph" w:customStyle="1" w:styleId="Default">
    <w:name w:val="Default"/>
    <w:rsid w:val="002730AA"/>
    <w:pPr>
      <w:autoSpaceDE w:val="0"/>
      <w:autoSpaceDN w:val="0"/>
      <w:adjustRightInd w:val="0"/>
    </w:pPr>
    <w:rPr>
      <w:rFonts w:ascii="Arial" w:hAnsi="Arial" w:cs="Arial"/>
      <w:color w:val="000000"/>
      <w:sz w:val="24"/>
      <w:szCs w:val="24"/>
    </w:rPr>
  </w:style>
  <w:style w:type="paragraph" w:customStyle="1" w:styleId="CharCharCharChar">
    <w:name w:val="Char Char Char Char"/>
    <w:basedOn w:val="Normal"/>
    <w:rsid w:val="00757995"/>
    <w:pPr>
      <w:spacing w:after="160" w:line="240" w:lineRule="exact"/>
    </w:pPr>
    <w:rPr>
      <w:rFonts w:ascii="Verdana" w:hAnsi="Verdana"/>
      <w:sz w:val="20"/>
      <w:szCs w:val="20"/>
    </w:rPr>
  </w:style>
  <w:style w:type="character" w:customStyle="1" w:styleId="BalloonTextChar">
    <w:name w:val="Balloon Text Char"/>
    <w:link w:val="BalloonText"/>
    <w:rsid w:val="00757995"/>
    <w:rPr>
      <w:rFonts w:ascii="Tahoma" w:hAnsi="Tahoma" w:cs="Tahoma"/>
      <w:sz w:val="16"/>
      <w:szCs w:val="16"/>
      <w:lang w:val="en-GB" w:eastAsia="en-US" w:bidi="ar-SA"/>
    </w:rPr>
  </w:style>
  <w:style w:type="paragraph" w:styleId="PlainText">
    <w:name w:val="Plain Text"/>
    <w:basedOn w:val="Normal"/>
    <w:rsid w:val="00422574"/>
    <w:rPr>
      <w:rFonts w:ascii="Courier New" w:hAnsi="Courier New" w:cs="Courier New"/>
      <w:sz w:val="20"/>
      <w:szCs w:val="20"/>
      <w:lang w:eastAsia="en-GB"/>
    </w:rPr>
  </w:style>
  <w:style w:type="paragraph" w:styleId="ListParagraph">
    <w:name w:val="List Paragraph"/>
    <w:basedOn w:val="Normal"/>
    <w:link w:val="ListParagraphChar"/>
    <w:uiPriority w:val="34"/>
    <w:qFormat/>
    <w:rsid w:val="00EF2C26"/>
    <w:pPr>
      <w:ind w:left="720"/>
    </w:pPr>
  </w:style>
  <w:style w:type="character" w:styleId="FollowedHyperlink">
    <w:name w:val="FollowedHyperlink"/>
    <w:rsid w:val="00D665FA"/>
    <w:rPr>
      <w:color w:val="800080"/>
      <w:u w:val="single"/>
    </w:rPr>
  </w:style>
  <w:style w:type="paragraph" w:styleId="Revision">
    <w:name w:val="Revision"/>
    <w:hidden/>
    <w:uiPriority w:val="99"/>
    <w:semiHidden/>
    <w:rsid w:val="00AD51EA"/>
    <w:rPr>
      <w:rFonts w:ascii="Arial" w:hAnsi="Arial"/>
      <w:sz w:val="24"/>
      <w:szCs w:val="24"/>
      <w:lang w:eastAsia="en-US"/>
    </w:rPr>
  </w:style>
  <w:style w:type="paragraph" w:customStyle="1" w:styleId="bParagraphtext">
    <w:name w:val="bParagraph text"/>
    <w:basedOn w:val="ListParagraph"/>
    <w:link w:val="bParagraphtextChar"/>
    <w:qFormat/>
    <w:rsid w:val="00F752C1"/>
    <w:pPr>
      <w:tabs>
        <w:tab w:val="left" w:pos="426"/>
      </w:tabs>
      <w:spacing w:after="120"/>
      <w:ind w:left="426" w:hanging="426"/>
    </w:pPr>
    <w:rPr>
      <w:color w:val="000000"/>
      <w:lang w:eastAsia="en-GB"/>
    </w:rPr>
  </w:style>
  <w:style w:type="character" w:customStyle="1" w:styleId="bParagraphtextChar">
    <w:name w:val="bParagraph text Char"/>
    <w:link w:val="bParagraphtext"/>
    <w:rsid w:val="00F752C1"/>
    <w:rPr>
      <w:rFonts w:ascii="Arial" w:hAnsi="Arial"/>
      <w:color w:val="000000"/>
      <w:sz w:val="24"/>
      <w:szCs w:val="24"/>
    </w:rPr>
  </w:style>
  <w:style w:type="character" w:customStyle="1" w:styleId="ListParagraphChar">
    <w:name w:val="List Paragraph Char"/>
    <w:link w:val="ListParagraph"/>
    <w:uiPriority w:val="34"/>
    <w:rsid w:val="000330B1"/>
    <w:rPr>
      <w:rFonts w:ascii="Arial" w:hAnsi="Arial"/>
      <w:sz w:val="24"/>
      <w:szCs w:val="24"/>
      <w:lang w:eastAsia="en-US"/>
    </w:rPr>
  </w:style>
  <w:style w:type="character" w:customStyle="1" w:styleId="CommentTextChar">
    <w:name w:val="Comment Text Char"/>
    <w:basedOn w:val="DefaultParagraphFont"/>
    <w:link w:val="CommentText"/>
    <w:uiPriority w:val="99"/>
    <w:semiHidden/>
    <w:rsid w:val="0089723C"/>
    <w:rPr>
      <w:rFonts w:ascii="Arial" w:hAnsi="Arial"/>
      <w:lang w:eastAsia="en-US"/>
    </w:rPr>
  </w:style>
  <w:style w:type="character" w:customStyle="1" w:styleId="FootnoteTextChar">
    <w:name w:val="Footnote Text Char"/>
    <w:basedOn w:val="DefaultParagraphFont"/>
    <w:link w:val="FootnoteText"/>
    <w:uiPriority w:val="99"/>
    <w:semiHidden/>
    <w:rsid w:val="005825B9"/>
  </w:style>
  <w:style w:type="character" w:customStyle="1" w:styleId="UnresolvedMention">
    <w:name w:val="Unresolved Mention"/>
    <w:basedOn w:val="DefaultParagraphFont"/>
    <w:uiPriority w:val="99"/>
    <w:semiHidden/>
    <w:unhideWhenUsed/>
    <w:rsid w:val="00F0449B"/>
    <w:rPr>
      <w:color w:val="605E5C"/>
      <w:shd w:val="clear" w:color="auto" w:fill="E1DFDD"/>
    </w:rPr>
  </w:style>
  <w:style w:type="paragraph" w:customStyle="1" w:styleId="paragraph">
    <w:name w:val="paragraph"/>
    <w:basedOn w:val="Normal"/>
    <w:rsid w:val="00A562BE"/>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A562BE"/>
  </w:style>
  <w:style w:type="character" w:customStyle="1" w:styleId="findhit">
    <w:name w:val="findhit"/>
    <w:basedOn w:val="DefaultParagraphFont"/>
    <w:rsid w:val="00A562BE"/>
  </w:style>
  <w:style w:type="character" w:customStyle="1" w:styleId="eop">
    <w:name w:val="eop"/>
    <w:basedOn w:val="DefaultParagraphFont"/>
    <w:rsid w:val="00A562BE"/>
  </w:style>
  <w:style w:type="character" w:customStyle="1" w:styleId="FooterChar">
    <w:name w:val="Footer Char"/>
    <w:basedOn w:val="DefaultParagraphFont"/>
    <w:link w:val="Footer"/>
    <w:uiPriority w:val="99"/>
    <w:rsid w:val="00A60415"/>
    <w:rPr>
      <w:rFonts w:ascii="Arial" w:hAnsi="Arial"/>
      <w:sz w:val="24"/>
      <w:szCs w:val="24"/>
      <w:lang w:eastAsia="en-US"/>
    </w:rPr>
  </w:style>
  <w:style w:type="paragraph" w:styleId="ListBullet">
    <w:name w:val="List Bullet"/>
    <w:basedOn w:val="Normal"/>
    <w:unhideWhenUsed/>
    <w:rsid w:val="000A2D05"/>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1551">
      <w:bodyDiv w:val="1"/>
      <w:marLeft w:val="0"/>
      <w:marRight w:val="0"/>
      <w:marTop w:val="0"/>
      <w:marBottom w:val="0"/>
      <w:divBdr>
        <w:top w:val="none" w:sz="0" w:space="0" w:color="auto"/>
        <w:left w:val="none" w:sz="0" w:space="0" w:color="auto"/>
        <w:bottom w:val="none" w:sz="0" w:space="0" w:color="auto"/>
        <w:right w:val="none" w:sz="0" w:space="0" w:color="auto"/>
      </w:divBdr>
      <w:divsChild>
        <w:div w:id="1790855567">
          <w:marLeft w:val="0"/>
          <w:marRight w:val="0"/>
          <w:marTop w:val="0"/>
          <w:marBottom w:val="0"/>
          <w:divBdr>
            <w:top w:val="none" w:sz="0" w:space="0" w:color="auto"/>
            <w:left w:val="none" w:sz="0" w:space="0" w:color="auto"/>
            <w:bottom w:val="none" w:sz="0" w:space="0" w:color="auto"/>
            <w:right w:val="none" w:sz="0" w:space="0" w:color="auto"/>
          </w:divBdr>
          <w:divsChild>
            <w:div w:id="931745022">
              <w:marLeft w:val="0"/>
              <w:marRight w:val="0"/>
              <w:marTop w:val="0"/>
              <w:marBottom w:val="0"/>
              <w:divBdr>
                <w:top w:val="none" w:sz="0" w:space="0" w:color="auto"/>
                <w:left w:val="none" w:sz="0" w:space="0" w:color="auto"/>
                <w:bottom w:val="none" w:sz="0" w:space="0" w:color="auto"/>
                <w:right w:val="none" w:sz="0" w:space="0" w:color="auto"/>
              </w:divBdr>
            </w:div>
            <w:div w:id="1214268780">
              <w:marLeft w:val="0"/>
              <w:marRight w:val="0"/>
              <w:marTop w:val="0"/>
              <w:marBottom w:val="0"/>
              <w:divBdr>
                <w:top w:val="none" w:sz="0" w:space="0" w:color="auto"/>
                <w:left w:val="none" w:sz="0" w:space="0" w:color="auto"/>
                <w:bottom w:val="none" w:sz="0" w:space="0" w:color="auto"/>
                <w:right w:val="none" w:sz="0" w:space="0" w:color="auto"/>
              </w:divBdr>
            </w:div>
            <w:div w:id="15484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1113">
      <w:bodyDiv w:val="1"/>
      <w:marLeft w:val="0"/>
      <w:marRight w:val="0"/>
      <w:marTop w:val="0"/>
      <w:marBottom w:val="0"/>
      <w:divBdr>
        <w:top w:val="none" w:sz="0" w:space="0" w:color="auto"/>
        <w:left w:val="none" w:sz="0" w:space="0" w:color="auto"/>
        <w:bottom w:val="none" w:sz="0" w:space="0" w:color="auto"/>
        <w:right w:val="none" w:sz="0" w:space="0" w:color="auto"/>
      </w:divBdr>
      <w:divsChild>
        <w:div w:id="138614929">
          <w:marLeft w:val="0"/>
          <w:marRight w:val="0"/>
          <w:marTop w:val="0"/>
          <w:marBottom w:val="0"/>
          <w:divBdr>
            <w:top w:val="none" w:sz="0" w:space="0" w:color="auto"/>
            <w:left w:val="none" w:sz="0" w:space="0" w:color="auto"/>
            <w:bottom w:val="none" w:sz="0" w:space="0" w:color="auto"/>
            <w:right w:val="none" w:sz="0" w:space="0" w:color="auto"/>
          </w:divBdr>
        </w:div>
        <w:div w:id="537594449">
          <w:marLeft w:val="0"/>
          <w:marRight w:val="0"/>
          <w:marTop w:val="0"/>
          <w:marBottom w:val="0"/>
          <w:divBdr>
            <w:top w:val="none" w:sz="0" w:space="0" w:color="auto"/>
            <w:left w:val="none" w:sz="0" w:space="0" w:color="auto"/>
            <w:bottom w:val="none" w:sz="0" w:space="0" w:color="auto"/>
            <w:right w:val="none" w:sz="0" w:space="0" w:color="auto"/>
          </w:divBdr>
        </w:div>
        <w:div w:id="600652204">
          <w:marLeft w:val="0"/>
          <w:marRight w:val="0"/>
          <w:marTop w:val="0"/>
          <w:marBottom w:val="0"/>
          <w:divBdr>
            <w:top w:val="none" w:sz="0" w:space="0" w:color="auto"/>
            <w:left w:val="none" w:sz="0" w:space="0" w:color="auto"/>
            <w:bottom w:val="none" w:sz="0" w:space="0" w:color="auto"/>
            <w:right w:val="none" w:sz="0" w:space="0" w:color="auto"/>
          </w:divBdr>
        </w:div>
        <w:div w:id="640156974">
          <w:marLeft w:val="0"/>
          <w:marRight w:val="0"/>
          <w:marTop w:val="0"/>
          <w:marBottom w:val="0"/>
          <w:divBdr>
            <w:top w:val="none" w:sz="0" w:space="0" w:color="auto"/>
            <w:left w:val="none" w:sz="0" w:space="0" w:color="auto"/>
            <w:bottom w:val="none" w:sz="0" w:space="0" w:color="auto"/>
            <w:right w:val="none" w:sz="0" w:space="0" w:color="auto"/>
          </w:divBdr>
        </w:div>
        <w:div w:id="866674346">
          <w:marLeft w:val="0"/>
          <w:marRight w:val="0"/>
          <w:marTop w:val="0"/>
          <w:marBottom w:val="0"/>
          <w:divBdr>
            <w:top w:val="none" w:sz="0" w:space="0" w:color="auto"/>
            <w:left w:val="none" w:sz="0" w:space="0" w:color="auto"/>
            <w:bottom w:val="none" w:sz="0" w:space="0" w:color="auto"/>
            <w:right w:val="none" w:sz="0" w:space="0" w:color="auto"/>
          </w:divBdr>
        </w:div>
        <w:div w:id="944995660">
          <w:marLeft w:val="0"/>
          <w:marRight w:val="0"/>
          <w:marTop w:val="0"/>
          <w:marBottom w:val="0"/>
          <w:divBdr>
            <w:top w:val="none" w:sz="0" w:space="0" w:color="auto"/>
            <w:left w:val="none" w:sz="0" w:space="0" w:color="auto"/>
            <w:bottom w:val="none" w:sz="0" w:space="0" w:color="auto"/>
            <w:right w:val="none" w:sz="0" w:space="0" w:color="auto"/>
          </w:divBdr>
        </w:div>
        <w:div w:id="1145703406">
          <w:marLeft w:val="0"/>
          <w:marRight w:val="0"/>
          <w:marTop w:val="0"/>
          <w:marBottom w:val="0"/>
          <w:divBdr>
            <w:top w:val="none" w:sz="0" w:space="0" w:color="auto"/>
            <w:left w:val="none" w:sz="0" w:space="0" w:color="auto"/>
            <w:bottom w:val="none" w:sz="0" w:space="0" w:color="auto"/>
            <w:right w:val="none" w:sz="0" w:space="0" w:color="auto"/>
          </w:divBdr>
        </w:div>
        <w:div w:id="1167862900">
          <w:marLeft w:val="0"/>
          <w:marRight w:val="0"/>
          <w:marTop w:val="0"/>
          <w:marBottom w:val="0"/>
          <w:divBdr>
            <w:top w:val="none" w:sz="0" w:space="0" w:color="auto"/>
            <w:left w:val="none" w:sz="0" w:space="0" w:color="auto"/>
            <w:bottom w:val="none" w:sz="0" w:space="0" w:color="auto"/>
            <w:right w:val="none" w:sz="0" w:space="0" w:color="auto"/>
          </w:divBdr>
        </w:div>
        <w:div w:id="1257859712">
          <w:marLeft w:val="0"/>
          <w:marRight w:val="0"/>
          <w:marTop w:val="0"/>
          <w:marBottom w:val="0"/>
          <w:divBdr>
            <w:top w:val="none" w:sz="0" w:space="0" w:color="auto"/>
            <w:left w:val="none" w:sz="0" w:space="0" w:color="auto"/>
            <w:bottom w:val="none" w:sz="0" w:space="0" w:color="auto"/>
            <w:right w:val="none" w:sz="0" w:space="0" w:color="auto"/>
          </w:divBdr>
        </w:div>
        <w:div w:id="1395810072">
          <w:marLeft w:val="0"/>
          <w:marRight w:val="0"/>
          <w:marTop w:val="0"/>
          <w:marBottom w:val="0"/>
          <w:divBdr>
            <w:top w:val="none" w:sz="0" w:space="0" w:color="auto"/>
            <w:left w:val="none" w:sz="0" w:space="0" w:color="auto"/>
            <w:bottom w:val="none" w:sz="0" w:space="0" w:color="auto"/>
            <w:right w:val="none" w:sz="0" w:space="0" w:color="auto"/>
          </w:divBdr>
        </w:div>
        <w:div w:id="1533609209">
          <w:marLeft w:val="0"/>
          <w:marRight w:val="0"/>
          <w:marTop w:val="0"/>
          <w:marBottom w:val="0"/>
          <w:divBdr>
            <w:top w:val="none" w:sz="0" w:space="0" w:color="auto"/>
            <w:left w:val="none" w:sz="0" w:space="0" w:color="auto"/>
            <w:bottom w:val="none" w:sz="0" w:space="0" w:color="auto"/>
            <w:right w:val="none" w:sz="0" w:space="0" w:color="auto"/>
          </w:divBdr>
        </w:div>
        <w:div w:id="1594506009">
          <w:marLeft w:val="0"/>
          <w:marRight w:val="0"/>
          <w:marTop w:val="0"/>
          <w:marBottom w:val="0"/>
          <w:divBdr>
            <w:top w:val="none" w:sz="0" w:space="0" w:color="auto"/>
            <w:left w:val="none" w:sz="0" w:space="0" w:color="auto"/>
            <w:bottom w:val="none" w:sz="0" w:space="0" w:color="auto"/>
            <w:right w:val="none" w:sz="0" w:space="0" w:color="auto"/>
          </w:divBdr>
        </w:div>
        <w:div w:id="1654531356">
          <w:marLeft w:val="0"/>
          <w:marRight w:val="0"/>
          <w:marTop w:val="0"/>
          <w:marBottom w:val="0"/>
          <w:divBdr>
            <w:top w:val="none" w:sz="0" w:space="0" w:color="auto"/>
            <w:left w:val="none" w:sz="0" w:space="0" w:color="auto"/>
            <w:bottom w:val="none" w:sz="0" w:space="0" w:color="auto"/>
            <w:right w:val="none" w:sz="0" w:space="0" w:color="auto"/>
          </w:divBdr>
        </w:div>
        <w:div w:id="1782143861">
          <w:marLeft w:val="0"/>
          <w:marRight w:val="0"/>
          <w:marTop w:val="0"/>
          <w:marBottom w:val="0"/>
          <w:divBdr>
            <w:top w:val="none" w:sz="0" w:space="0" w:color="auto"/>
            <w:left w:val="none" w:sz="0" w:space="0" w:color="auto"/>
            <w:bottom w:val="none" w:sz="0" w:space="0" w:color="auto"/>
            <w:right w:val="none" w:sz="0" w:space="0" w:color="auto"/>
          </w:divBdr>
        </w:div>
        <w:div w:id="1831632762">
          <w:marLeft w:val="0"/>
          <w:marRight w:val="0"/>
          <w:marTop w:val="0"/>
          <w:marBottom w:val="0"/>
          <w:divBdr>
            <w:top w:val="none" w:sz="0" w:space="0" w:color="auto"/>
            <w:left w:val="none" w:sz="0" w:space="0" w:color="auto"/>
            <w:bottom w:val="none" w:sz="0" w:space="0" w:color="auto"/>
            <w:right w:val="none" w:sz="0" w:space="0" w:color="auto"/>
          </w:divBdr>
        </w:div>
        <w:div w:id="1961761445">
          <w:marLeft w:val="0"/>
          <w:marRight w:val="0"/>
          <w:marTop w:val="0"/>
          <w:marBottom w:val="0"/>
          <w:divBdr>
            <w:top w:val="none" w:sz="0" w:space="0" w:color="auto"/>
            <w:left w:val="none" w:sz="0" w:space="0" w:color="auto"/>
            <w:bottom w:val="none" w:sz="0" w:space="0" w:color="auto"/>
            <w:right w:val="none" w:sz="0" w:space="0" w:color="auto"/>
          </w:divBdr>
        </w:div>
      </w:divsChild>
    </w:div>
    <w:div w:id="582034228">
      <w:bodyDiv w:val="1"/>
      <w:marLeft w:val="0"/>
      <w:marRight w:val="0"/>
      <w:marTop w:val="0"/>
      <w:marBottom w:val="0"/>
      <w:divBdr>
        <w:top w:val="none" w:sz="0" w:space="0" w:color="auto"/>
        <w:left w:val="none" w:sz="0" w:space="0" w:color="auto"/>
        <w:bottom w:val="none" w:sz="0" w:space="0" w:color="auto"/>
        <w:right w:val="none" w:sz="0" w:space="0" w:color="auto"/>
      </w:divBdr>
    </w:div>
    <w:div w:id="610434871">
      <w:bodyDiv w:val="1"/>
      <w:marLeft w:val="0"/>
      <w:marRight w:val="0"/>
      <w:marTop w:val="0"/>
      <w:marBottom w:val="0"/>
      <w:divBdr>
        <w:top w:val="none" w:sz="0" w:space="0" w:color="auto"/>
        <w:left w:val="none" w:sz="0" w:space="0" w:color="auto"/>
        <w:bottom w:val="none" w:sz="0" w:space="0" w:color="auto"/>
        <w:right w:val="none" w:sz="0" w:space="0" w:color="auto"/>
      </w:divBdr>
      <w:divsChild>
        <w:div w:id="116877069">
          <w:marLeft w:val="0"/>
          <w:marRight w:val="0"/>
          <w:marTop w:val="0"/>
          <w:marBottom w:val="0"/>
          <w:divBdr>
            <w:top w:val="none" w:sz="0" w:space="0" w:color="auto"/>
            <w:left w:val="none" w:sz="0" w:space="0" w:color="auto"/>
            <w:bottom w:val="none" w:sz="0" w:space="0" w:color="auto"/>
            <w:right w:val="none" w:sz="0" w:space="0" w:color="auto"/>
          </w:divBdr>
        </w:div>
        <w:div w:id="246546598">
          <w:marLeft w:val="0"/>
          <w:marRight w:val="0"/>
          <w:marTop w:val="0"/>
          <w:marBottom w:val="0"/>
          <w:divBdr>
            <w:top w:val="none" w:sz="0" w:space="0" w:color="auto"/>
            <w:left w:val="none" w:sz="0" w:space="0" w:color="auto"/>
            <w:bottom w:val="none" w:sz="0" w:space="0" w:color="auto"/>
            <w:right w:val="none" w:sz="0" w:space="0" w:color="auto"/>
          </w:divBdr>
        </w:div>
        <w:div w:id="467630073">
          <w:marLeft w:val="0"/>
          <w:marRight w:val="0"/>
          <w:marTop w:val="0"/>
          <w:marBottom w:val="0"/>
          <w:divBdr>
            <w:top w:val="none" w:sz="0" w:space="0" w:color="auto"/>
            <w:left w:val="none" w:sz="0" w:space="0" w:color="auto"/>
            <w:bottom w:val="none" w:sz="0" w:space="0" w:color="auto"/>
            <w:right w:val="none" w:sz="0" w:space="0" w:color="auto"/>
          </w:divBdr>
        </w:div>
        <w:div w:id="688678302">
          <w:marLeft w:val="0"/>
          <w:marRight w:val="0"/>
          <w:marTop w:val="0"/>
          <w:marBottom w:val="0"/>
          <w:divBdr>
            <w:top w:val="none" w:sz="0" w:space="0" w:color="auto"/>
            <w:left w:val="none" w:sz="0" w:space="0" w:color="auto"/>
            <w:bottom w:val="none" w:sz="0" w:space="0" w:color="auto"/>
            <w:right w:val="none" w:sz="0" w:space="0" w:color="auto"/>
          </w:divBdr>
        </w:div>
        <w:div w:id="744453046">
          <w:marLeft w:val="0"/>
          <w:marRight w:val="0"/>
          <w:marTop w:val="0"/>
          <w:marBottom w:val="0"/>
          <w:divBdr>
            <w:top w:val="none" w:sz="0" w:space="0" w:color="auto"/>
            <w:left w:val="none" w:sz="0" w:space="0" w:color="auto"/>
            <w:bottom w:val="none" w:sz="0" w:space="0" w:color="auto"/>
            <w:right w:val="none" w:sz="0" w:space="0" w:color="auto"/>
          </w:divBdr>
        </w:div>
        <w:div w:id="770200609">
          <w:marLeft w:val="0"/>
          <w:marRight w:val="0"/>
          <w:marTop w:val="0"/>
          <w:marBottom w:val="0"/>
          <w:divBdr>
            <w:top w:val="none" w:sz="0" w:space="0" w:color="auto"/>
            <w:left w:val="none" w:sz="0" w:space="0" w:color="auto"/>
            <w:bottom w:val="none" w:sz="0" w:space="0" w:color="auto"/>
            <w:right w:val="none" w:sz="0" w:space="0" w:color="auto"/>
          </w:divBdr>
        </w:div>
        <w:div w:id="792022778">
          <w:marLeft w:val="0"/>
          <w:marRight w:val="0"/>
          <w:marTop w:val="0"/>
          <w:marBottom w:val="0"/>
          <w:divBdr>
            <w:top w:val="none" w:sz="0" w:space="0" w:color="auto"/>
            <w:left w:val="none" w:sz="0" w:space="0" w:color="auto"/>
            <w:bottom w:val="none" w:sz="0" w:space="0" w:color="auto"/>
            <w:right w:val="none" w:sz="0" w:space="0" w:color="auto"/>
          </w:divBdr>
        </w:div>
        <w:div w:id="1081367700">
          <w:marLeft w:val="0"/>
          <w:marRight w:val="0"/>
          <w:marTop w:val="0"/>
          <w:marBottom w:val="0"/>
          <w:divBdr>
            <w:top w:val="none" w:sz="0" w:space="0" w:color="auto"/>
            <w:left w:val="none" w:sz="0" w:space="0" w:color="auto"/>
            <w:bottom w:val="none" w:sz="0" w:space="0" w:color="auto"/>
            <w:right w:val="none" w:sz="0" w:space="0" w:color="auto"/>
          </w:divBdr>
        </w:div>
        <w:div w:id="1120490658">
          <w:marLeft w:val="0"/>
          <w:marRight w:val="0"/>
          <w:marTop w:val="0"/>
          <w:marBottom w:val="0"/>
          <w:divBdr>
            <w:top w:val="none" w:sz="0" w:space="0" w:color="auto"/>
            <w:left w:val="none" w:sz="0" w:space="0" w:color="auto"/>
            <w:bottom w:val="none" w:sz="0" w:space="0" w:color="auto"/>
            <w:right w:val="none" w:sz="0" w:space="0" w:color="auto"/>
          </w:divBdr>
        </w:div>
        <w:div w:id="1166172348">
          <w:marLeft w:val="0"/>
          <w:marRight w:val="0"/>
          <w:marTop w:val="0"/>
          <w:marBottom w:val="0"/>
          <w:divBdr>
            <w:top w:val="none" w:sz="0" w:space="0" w:color="auto"/>
            <w:left w:val="none" w:sz="0" w:space="0" w:color="auto"/>
            <w:bottom w:val="none" w:sz="0" w:space="0" w:color="auto"/>
            <w:right w:val="none" w:sz="0" w:space="0" w:color="auto"/>
          </w:divBdr>
        </w:div>
        <w:div w:id="1251618732">
          <w:marLeft w:val="0"/>
          <w:marRight w:val="0"/>
          <w:marTop w:val="0"/>
          <w:marBottom w:val="0"/>
          <w:divBdr>
            <w:top w:val="none" w:sz="0" w:space="0" w:color="auto"/>
            <w:left w:val="none" w:sz="0" w:space="0" w:color="auto"/>
            <w:bottom w:val="none" w:sz="0" w:space="0" w:color="auto"/>
            <w:right w:val="none" w:sz="0" w:space="0" w:color="auto"/>
          </w:divBdr>
        </w:div>
        <w:div w:id="1656492107">
          <w:marLeft w:val="0"/>
          <w:marRight w:val="0"/>
          <w:marTop w:val="0"/>
          <w:marBottom w:val="0"/>
          <w:divBdr>
            <w:top w:val="none" w:sz="0" w:space="0" w:color="auto"/>
            <w:left w:val="none" w:sz="0" w:space="0" w:color="auto"/>
            <w:bottom w:val="none" w:sz="0" w:space="0" w:color="auto"/>
            <w:right w:val="none" w:sz="0" w:space="0" w:color="auto"/>
          </w:divBdr>
        </w:div>
        <w:div w:id="1924334165">
          <w:marLeft w:val="0"/>
          <w:marRight w:val="0"/>
          <w:marTop w:val="0"/>
          <w:marBottom w:val="0"/>
          <w:divBdr>
            <w:top w:val="none" w:sz="0" w:space="0" w:color="auto"/>
            <w:left w:val="none" w:sz="0" w:space="0" w:color="auto"/>
            <w:bottom w:val="none" w:sz="0" w:space="0" w:color="auto"/>
            <w:right w:val="none" w:sz="0" w:space="0" w:color="auto"/>
          </w:divBdr>
        </w:div>
        <w:div w:id="1929461675">
          <w:marLeft w:val="0"/>
          <w:marRight w:val="0"/>
          <w:marTop w:val="0"/>
          <w:marBottom w:val="0"/>
          <w:divBdr>
            <w:top w:val="none" w:sz="0" w:space="0" w:color="auto"/>
            <w:left w:val="none" w:sz="0" w:space="0" w:color="auto"/>
            <w:bottom w:val="none" w:sz="0" w:space="0" w:color="auto"/>
            <w:right w:val="none" w:sz="0" w:space="0" w:color="auto"/>
          </w:divBdr>
        </w:div>
        <w:div w:id="1966420419">
          <w:marLeft w:val="0"/>
          <w:marRight w:val="0"/>
          <w:marTop w:val="0"/>
          <w:marBottom w:val="0"/>
          <w:divBdr>
            <w:top w:val="none" w:sz="0" w:space="0" w:color="auto"/>
            <w:left w:val="none" w:sz="0" w:space="0" w:color="auto"/>
            <w:bottom w:val="none" w:sz="0" w:space="0" w:color="auto"/>
            <w:right w:val="none" w:sz="0" w:space="0" w:color="auto"/>
          </w:divBdr>
        </w:div>
        <w:div w:id="1982226807">
          <w:marLeft w:val="0"/>
          <w:marRight w:val="0"/>
          <w:marTop w:val="0"/>
          <w:marBottom w:val="0"/>
          <w:divBdr>
            <w:top w:val="none" w:sz="0" w:space="0" w:color="auto"/>
            <w:left w:val="none" w:sz="0" w:space="0" w:color="auto"/>
            <w:bottom w:val="none" w:sz="0" w:space="0" w:color="auto"/>
            <w:right w:val="none" w:sz="0" w:space="0" w:color="auto"/>
          </w:divBdr>
        </w:div>
      </w:divsChild>
    </w:div>
    <w:div w:id="643780395">
      <w:bodyDiv w:val="1"/>
      <w:marLeft w:val="0"/>
      <w:marRight w:val="0"/>
      <w:marTop w:val="0"/>
      <w:marBottom w:val="0"/>
      <w:divBdr>
        <w:top w:val="none" w:sz="0" w:space="0" w:color="auto"/>
        <w:left w:val="none" w:sz="0" w:space="0" w:color="auto"/>
        <w:bottom w:val="none" w:sz="0" w:space="0" w:color="auto"/>
        <w:right w:val="none" w:sz="0" w:space="0" w:color="auto"/>
      </w:divBdr>
    </w:div>
    <w:div w:id="670790549">
      <w:bodyDiv w:val="1"/>
      <w:marLeft w:val="0"/>
      <w:marRight w:val="0"/>
      <w:marTop w:val="0"/>
      <w:marBottom w:val="0"/>
      <w:divBdr>
        <w:top w:val="none" w:sz="0" w:space="0" w:color="auto"/>
        <w:left w:val="none" w:sz="0" w:space="0" w:color="auto"/>
        <w:bottom w:val="none" w:sz="0" w:space="0" w:color="auto"/>
        <w:right w:val="none" w:sz="0" w:space="0" w:color="auto"/>
      </w:divBdr>
    </w:div>
    <w:div w:id="1024476632">
      <w:bodyDiv w:val="1"/>
      <w:marLeft w:val="0"/>
      <w:marRight w:val="0"/>
      <w:marTop w:val="0"/>
      <w:marBottom w:val="0"/>
      <w:divBdr>
        <w:top w:val="none" w:sz="0" w:space="0" w:color="auto"/>
        <w:left w:val="none" w:sz="0" w:space="0" w:color="auto"/>
        <w:bottom w:val="none" w:sz="0" w:space="0" w:color="auto"/>
        <w:right w:val="none" w:sz="0" w:space="0" w:color="auto"/>
      </w:divBdr>
    </w:div>
    <w:div w:id="1058437584">
      <w:bodyDiv w:val="1"/>
      <w:marLeft w:val="0"/>
      <w:marRight w:val="0"/>
      <w:marTop w:val="0"/>
      <w:marBottom w:val="0"/>
      <w:divBdr>
        <w:top w:val="none" w:sz="0" w:space="0" w:color="auto"/>
        <w:left w:val="none" w:sz="0" w:space="0" w:color="auto"/>
        <w:bottom w:val="none" w:sz="0" w:space="0" w:color="auto"/>
        <w:right w:val="none" w:sz="0" w:space="0" w:color="auto"/>
      </w:divBdr>
      <w:divsChild>
        <w:div w:id="1976176663">
          <w:marLeft w:val="0"/>
          <w:marRight w:val="0"/>
          <w:marTop w:val="0"/>
          <w:marBottom w:val="0"/>
          <w:divBdr>
            <w:top w:val="none" w:sz="0" w:space="0" w:color="auto"/>
            <w:left w:val="none" w:sz="0" w:space="0" w:color="auto"/>
            <w:bottom w:val="none" w:sz="0" w:space="0" w:color="auto"/>
            <w:right w:val="none" w:sz="0" w:space="0" w:color="auto"/>
          </w:divBdr>
          <w:divsChild>
            <w:div w:id="173539408">
              <w:marLeft w:val="0"/>
              <w:marRight w:val="0"/>
              <w:marTop w:val="0"/>
              <w:marBottom w:val="0"/>
              <w:divBdr>
                <w:top w:val="none" w:sz="0" w:space="0" w:color="auto"/>
                <w:left w:val="none" w:sz="0" w:space="0" w:color="auto"/>
                <w:bottom w:val="none" w:sz="0" w:space="0" w:color="auto"/>
                <w:right w:val="none" w:sz="0" w:space="0" w:color="auto"/>
              </w:divBdr>
              <w:divsChild>
                <w:div w:id="1202867539">
                  <w:marLeft w:val="0"/>
                  <w:marRight w:val="0"/>
                  <w:marTop w:val="0"/>
                  <w:marBottom w:val="0"/>
                  <w:divBdr>
                    <w:top w:val="none" w:sz="0" w:space="0" w:color="auto"/>
                    <w:left w:val="none" w:sz="0" w:space="0" w:color="auto"/>
                    <w:bottom w:val="none" w:sz="0" w:space="0" w:color="auto"/>
                    <w:right w:val="none" w:sz="0" w:space="0" w:color="auto"/>
                  </w:divBdr>
                  <w:divsChild>
                    <w:div w:id="281425899">
                      <w:marLeft w:val="0"/>
                      <w:marRight w:val="0"/>
                      <w:marTop w:val="0"/>
                      <w:marBottom w:val="0"/>
                      <w:divBdr>
                        <w:top w:val="none" w:sz="0" w:space="0" w:color="auto"/>
                        <w:left w:val="none" w:sz="0" w:space="0" w:color="auto"/>
                        <w:bottom w:val="none" w:sz="0" w:space="0" w:color="auto"/>
                        <w:right w:val="none" w:sz="0" w:space="0" w:color="auto"/>
                      </w:divBdr>
                      <w:divsChild>
                        <w:div w:id="1571039355">
                          <w:marLeft w:val="0"/>
                          <w:marRight w:val="0"/>
                          <w:marTop w:val="0"/>
                          <w:marBottom w:val="0"/>
                          <w:divBdr>
                            <w:top w:val="none" w:sz="0" w:space="0" w:color="auto"/>
                            <w:left w:val="none" w:sz="0" w:space="0" w:color="auto"/>
                            <w:bottom w:val="none" w:sz="0" w:space="0" w:color="auto"/>
                            <w:right w:val="none" w:sz="0" w:space="0" w:color="auto"/>
                          </w:divBdr>
                          <w:divsChild>
                            <w:div w:id="17292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368658">
      <w:bodyDiv w:val="1"/>
      <w:marLeft w:val="0"/>
      <w:marRight w:val="0"/>
      <w:marTop w:val="0"/>
      <w:marBottom w:val="0"/>
      <w:divBdr>
        <w:top w:val="none" w:sz="0" w:space="0" w:color="auto"/>
        <w:left w:val="none" w:sz="0" w:space="0" w:color="auto"/>
        <w:bottom w:val="none" w:sz="0" w:space="0" w:color="auto"/>
        <w:right w:val="none" w:sz="0" w:space="0" w:color="auto"/>
      </w:divBdr>
    </w:div>
    <w:div w:id="1327593427">
      <w:bodyDiv w:val="1"/>
      <w:marLeft w:val="0"/>
      <w:marRight w:val="0"/>
      <w:marTop w:val="0"/>
      <w:marBottom w:val="0"/>
      <w:divBdr>
        <w:top w:val="none" w:sz="0" w:space="0" w:color="auto"/>
        <w:left w:val="none" w:sz="0" w:space="0" w:color="auto"/>
        <w:bottom w:val="none" w:sz="0" w:space="0" w:color="auto"/>
        <w:right w:val="none" w:sz="0" w:space="0" w:color="auto"/>
      </w:divBdr>
    </w:div>
    <w:div w:id="1529761070">
      <w:bodyDiv w:val="1"/>
      <w:marLeft w:val="0"/>
      <w:marRight w:val="0"/>
      <w:marTop w:val="0"/>
      <w:marBottom w:val="0"/>
      <w:divBdr>
        <w:top w:val="none" w:sz="0" w:space="0" w:color="auto"/>
        <w:left w:val="none" w:sz="0" w:space="0" w:color="auto"/>
        <w:bottom w:val="none" w:sz="0" w:space="0" w:color="auto"/>
        <w:right w:val="none" w:sz="0" w:space="0" w:color="auto"/>
      </w:divBdr>
    </w:div>
    <w:div w:id="1592620567">
      <w:bodyDiv w:val="1"/>
      <w:marLeft w:val="0"/>
      <w:marRight w:val="0"/>
      <w:marTop w:val="0"/>
      <w:marBottom w:val="0"/>
      <w:divBdr>
        <w:top w:val="none" w:sz="0" w:space="0" w:color="auto"/>
        <w:left w:val="none" w:sz="0" w:space="0" w:color="auto"/>
        <w:bottom w:val="none" w:sz="0" w:space="0" w:color="auto"/>
        <w:right w:val="none" w:sz="0" w:space="0" w:color="auto"/>
      </w:divBdr>
    </w:div>
    <w:div w:id="1597056326">
      <w:bodyDiv w:val="1"/>
      <w:marLeft w:val="0"/>
      <w:marRight w:val="0"/>
      <w:marTop w:val="0"/>
      <w:marBottom w:val="0"/>
      <w:divBdr>
        <w:top w:val="none" w:sz="0" w:space="0" w:color="auto"/>
        <w:left w:val="none" w:sz="0" w:space="0" w:color="auto"/>
        <w:bottom w:val="none" w:sz="0" w:space="0" w:color="auto"/>
        <w:right w:val="none" w:sz="0" w:space="0" w:color="auto"/>
      </w:divBdr>
      <w:divsChild>
        <w:div w:id="301228378">
          <w:marLeft w:val="0"/>
          <w:marRight w:val="0"/>
          <w:marTop w:val="0"/>
          <w:marBottom w:val="0"/>
          <w:divBdr>
            <w:top w:val="none" w:sz="0" w:space="0" w:color="auto"/>
            <w:left w:val="none" w:sz="0" w:space="0" w:color="auto"/>
            <w:bottom w:val="none" w:sz="0" w:space="0" w:color="auto"/>
            <w:right w:val="none" w:sz="0" w:space="0" w:color="auto"/>
          </w:divBdr>
          <w:divsChild>
            <w:div w:id="13390206">
              <w:marLeft w:val="0"/>
              <w:marRight w:val="0"/>
              <w:marTop w:val="0"/>
              <w:marBottom w:val="0"/>
              <w:divBdr>
                <w:top w:val="none" w:sz="0" w:space="0" w:color="auto"/>
                <w:left w:val="none" w:sz="0" w:space="0" w:color="auto"/>
                <w:bottom w:val="none" w:sz="0" w:space="0" w:color="auto"/>
                <w:right w:val="none" w:sz="0" w:space="0" w:color="auto"/>
              </w:divBdr>
            </w:div>
            <w:div w:id="764426471">
              <w:marLeft w:val="0"/>
              <w:marRight w:val="0"/>
              <w:marTop w:val="0"/>
              <w:marBottom w:val="0"/>
              <w:divBdr>
                <w:top w:val="none" w:sz="0" w:space="0" w:color="auto"/>
                <w:left w:val="none" w:sz="0" w:space="0" w:color="auto"/>
                <w:bottom w:val="none" w:sz="0" w:space="0" w:color="auto"/>
                <w:right w:val="none" w:sz="0" w:space="0" w:color="auto"/>
              </w:divBdr>
            </w:div>
            <w:div w:id="765419883">
              <w:marLeft w:val="0"/>
              <w:marRight w:val="0"/>
              <w:marTop w:val="0"/>
              <w:marBottom w:val="0"/>
              <w:divBdr>
                <w:top w:val="none" w:sz="0" w:space="0" w:color="auto"/>
                <w:left w:val="none" w:sz="0" w:space="0" w:color="auto"/>
                <w:bottom w:val="none" w:sz="0" w:space="0" w:color="auto"/>
                <w:right w:val="none" w:sz="0" w:space="0" w:color="auto"/>
              </w:divBdr>
            </w:div>
            <w:div w:id="987854838">
              <w:marLeft w:val="0"/>
              <w:marRight w:val="0"/>
              <w:marTop w:val="0"/>
              <w:marBottom w:val="0"/>
              <w:divBdr>
                <w:top w:val="none" w:sz="0" w:space="0" w:color="auto"/>
                <w:left w:val="none" w:sz="0" w:space="0" w:color="auto"/>
                <w:bottom w:val="none" w:sz="0" w:space="0" w:color="auto"/>
                <w:right w:val="none" w:sz="0" w:space="0" w:color="auto"/>
              </w:divBdr>
            </w:div>
            <w:div w:id="1108424434">
              <w:marLeft w:val="0"/>
              <w:marRight w:val="0"/>
              <w:marTop w:val="0"/>
              <w:marBottom w:val="0"/>
              <w:divBdr>
                <w:top w:val="none" w:sz="0" w:space="0" w:color="auto"/>
                <w:left w:val="none" w:sz="0" w:space="0" w:color="auto"/>
                <w:bottom w:val="none" w:sz="0" w:space="0" w:color="auto"/>
                <w:right w:val="none" w:sz="0" w:space="0" w:color="auto"/>
              </w:divBdr>
            </w:div>
            <w:div w:id="1130320153">
              <w:marLeft w:val="0"/>
              <w:marRight w:val="0"/>
              <w:marTop w:val="0"/>
              <w:marBottom w:val="0"/>
              <w:divBdr>
                <w:top w:val="none" w:sz="0" w:space="0" w:color="auto"/>
                <w:left w:val="none" w:sz="0" w:space="0" w:color="auto"/>
                <w:bottom w:val="none" w:sz="0" w:space="0" w:color="auto"/>
                <w:right w:val="none" w:sz="0" w:space="0" w:color="auto"/>
              </w:divBdr>
            </w:div>
            <w:div w:id="1347903455">
              <w:marLeft w:val="0"/>
              <w:marRight w:val="0"/>
              <w:marTop w:val="0"/>
              <w:marBottom w:val="0"/>
              <w:divBdr>
                <w:top w:val="none" w:sz="0" w:space="0" w:color="auto"/>
                <w:left w:val="none" w:sz="0" w:space="0" w:color="auto"/>
                <w:bottom w:val="none" w:sz="0" w:space="0" w:color="auto"/>
                <w:right w:val="none" w:sz="0" w:space="0" w:color="auto"/>
              </w:divBdr>
            </w:div>
            <w:div w:id="1653363502">
              <w:marLeft w:val="0"/>
              <w:marRight w:val="0"/>
              <w:marTop w:val="0"/>
              <w:marBottom w:val="0"/>
              <w:divBdr>
                <w:top w:val="none" w:sz="0" w:space="0" w:color="auto"/>
                <w:left w:val="none" w:sz="0" w:space="0" w:color="auto"/>
                <w:bottom w:val="none" w:sz="0" w:space="0" w:color="auto"/>
                <w:right w:val="none" w:sz="0" w:space="0" w:color="auto"/>
              </w:divBdr>
            </w:div>
            <w:div w:id="20250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0470">
      <w:bodyDiv w:val="1"/>
      <w:marLeft w:val="0"/>
      <w:marRight w:val="0"/>
      <w:marTop w:val="0"/>
      <w:marBottom w:val="0"/>
      <w:divBdr>
        <w:top w:val="none" w:sz="0" w:space="0" w:color="auto"/>
        <w:left w:val="none" w:sz="0" w:space="0" w:color="auto"/>
        <w:bottom w:val="none" w:sz="0" w:space="0" w:color="auto"/>
        <w:right w:val="none" w:sz="0" w:space="0" w:color="auto"/>
      </w:divBdr>
    </w:div>
    <w:div w:id="1788547211">
      <w:bodyDiv w:val="1"/>
      <w:marLeft w:val="0"/>
      <w:marRight w:val="0"/>
      <w:marTop w:val="0"/>
      <w:marBottom w:val="0"/>
      <w:divBdr>
        <w:top w:val="none" w:sz="0" w:space="0" w:color="auto"/>
        <w:left w:val="none" w:sz="0" w:space="0" w:color="auto"/>
        <w:bottom w:val="none" w:sz="0" w:space="0" w:color="auto"/>
        <w:right w:val="none" w:sz="0" w:space="0" w:color="auto"/>
      </w:divBdr>
      <w:divsChild>
        <w:div w:id="1966886787">
          <w:marLeft w:val="0"/>
          <w:marRight w:val="0"/>
          <w:marTop w:val="0"/>
          <w:marBottom w:val="0"/>
          <w:divBdr>
            <w:top w:val="none" w:sz="0" w:space="0" w:color="auto"/>
            <w:left w:val="none" w:sz="0" w:space="0" w:color="auto"/>
            <w:bottom w:val="none" w:sz="0" w:space="0" w:color="auto"/>
            <w:right w:val="none" w:sz="0" w:space="0" w:color="auto"/>
          </w:divBdr>
          <w:divsChild>
            <w:div w:id="534275745">
              <w:marLeft w:val="0"/>
              <w:marRight w:val="0"/>
              <w:marTop w:val="0"/>
              <w:marBottom w:val="0"/>
              <w:divBdr>
                <w:top w:val="none" w:sz="0" w:space="0" w:color="auto"/>
                <w:left w:val="none" w:sz="0" w:space="0" w:color="auto"/>
                <w:bottom w:val="none" w:sz="0" w:space="0" w:color="auto"/>
                <w:right w:val="none" w:sz="0" w:space="0" w:color="auto"/>
              </w:divBdr>
            </w:div>
            <w:div w:id="638266336">
              <w:marLeft w:val="0"/>
              <w:marRight w:val="0"/>
              <w:marTop w:val="0"/>
              <w:marBottom w:val="0"/>
              <w:divBdr>
                <w:top w:val="none" w:sz="0" w:space="0" w:color="auto"/>
                <w:left w:val="none" w:sz="0" w:space="0" w:color="auto"/>
                <w:bottom w:val="none" w:sz="0" w:space="0" w:color="auto"/>
                <w:right w:val="none" w:sz="0" w:space="0" w:color="auto"/>
              </w:divBdr>
            </w:div>
            <w:div w:id="1007101647">
              <w:marLeft w:val="0"/>
              <w:marRight w:val="0"/>
              <w:marTop w:val="0"/>
              <w:marBottom w:val="0"/>
              <w:divBdr>
                <w:top w:val="none" w:sz="0" w:space="0" w:color="auto"/>
                <w:left w:val="none" w:sz="0" w:space="0" w:color="auto"/>
                <w:bottom w:val="none" w:sz="0" w:space="0" w:color="auto"/>
                <w:right w:val="none" w:sz="0" w:space="0" w:color="auto"/>
              </w:divBdr>
            </w:div>
            <w:div w:id="1135100126">
              <w:marLeft w:val="0"/>
              <w:marRight w:val="0"/>
              <w:marTop w:val="0"/>
              <w:marBottom w:val="0"/>
              <w:divBdr>
                <w:top w:val="none" w:sz="0" w:space="0" w:color="auto"/>
                <w:left w:val="none" w:sz="0" w:space="0" w:color="auto"/>
                <w:bottom w:val="none" w:sz="0" w:space="0" w:color="auto"/>
                <w:right w:val="none" w:sz="0" w:space="0" w:color="auto"/>
              </w:divBdr>
            </w:div>
            <w:div w:id="1624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1460">
      <w:bodyDiv w:val="1"/>
      <w:marLeft w:val="0"/>
      <w:marRight w:val="0"/>
      <w:marTop w:val="0"/>
      <w:marBottom w:val="0"/>
      <w:divBdr>
        <w:top w:val="none" w:sz="0" w:space="0" w:color="auto"/>
        <w:left w:val="none" w:sz="0" w:space="0" w:color="auto"/>
        <w:bottom w:val="none" w:sz="0" w:space="0" w:color="auto"/>
        <w:right w:val="none" w:sz="0" w:space="0" w:color="auto"/>
      </w:divBdr>
      <w:divsChild>
        <w:div w:id="899442555">
          <w:marLeft w:val="0"/>
          <w:marRight w:val="0"/>
          <w:marTop w:val="0"/>
          <w:marBottom w:val="0"/>
          <w:divBdr>
            <w:top w:val="none" w:sz="0" w:space="0" w:color="auto"/>
            <w:left w:val="none" w:sz="0" w:space="0" w:color="auto"/>
            <w:bottom w:val="none" w:sz="0" w:space="0" w:color="auto"/>
            <w:right w:val="none" w:sz="0" w:space="0" w:color="auto"/>
          </w:divBdr>
          <w:divsChild>
            <w:div w:id="455221201">
              <w:marLeft w:val="0"/>
              <w:marRight w:val="0"/>
              <w:marTop w:val="0"/>
              <w:marBottom w:val="0"/>
              <w:divBdr>
                <w:top w:val="single" w:sz="2" w:space="0" w:color="FFFFFF"/>
                <w:left w:val="single" w:sz="6" w:space="0" w:color="FFFFFF"/>
                <w:bottom w:val="single" w:sz="6" w:space="0" w:color="FFFFFF"/>
                <w:right w:val="single" w:sz="6" w:space="0" w:color="FFFFFF"/>
              </w:divBdr>
              <w:divsChild>
                <w:div w:id="1287812932">
                  <w:marLeft w:val="0"/>
                  <w:marRight w:val="0"/>
                  <w:marTop w:val="0"/>
                  <w:marBottom w:val="0"/>
                  <w:divBdr>
                    <w:top w:val="single" w:sz="6" w:space="1" w:color="D3D3D3"/>
                    <w:left w:val="none" w:sz="0" w:space="0" w:color="auto"/>
                    <w:bottom w:val="none" w:sz="0" w:space="0" w:color="auto"/>
                    <w:right w:val="none" w:sz="0" w:space="0" w:color="auto"/>
                  </w:divBdr>
                  <w:divsChild>
                    <w:div w:id="1264651263">
                      <w:marLeft w:val="0"/>
                      <w:marRight w:val="0"/>
                      <w:marTop w:val="0"/>
                      <w:marBottom w:val="0"/>
                      <w:divBdr>
                        <w:top w:val="none" w:sz="0" w:space="0" w:color="auto"/>
                        <w:left w:val="none" w:sz="0" w:space="0" w:color="auto"/>
                        <w:bottom w:val="none" w:sz="0" w:space="0" w:color="auto"/>
                        <w:right w:val="none" w:sz="0" w:space="0" w:color="auto"/>
                      </w:divBdr>
                      <w:divsChild>
                        <w:div w:id="573660319">
                          <w:marLeft w:val="0"/>
                          <w:marRight w:val="0"/>
                          <w:marTop w:val="0"/>
                          <w:marBottom w:val="0"/>
                          <w:divBdr>
                            <w:top w:val="none" w:sz="0" w:space="0" w:color="auto"/>
                            <w:left w:val="none" w:sz="0" w:space="0" w:color="auto"/>
                            <w:bottom w:val="none" w:sz="0" w:space="0" w:color="auto"/>
                            <w:right w:val="none" w:sz="0" w:space="0" w:color="auto"/>
                          </w:divBdr>
                        </w:div>
                        <w:div w:id="1218276818">
                          <w:marLeft w:val="0"/>
                          <w:marRight w:val="0"/>
                          <w:marTop w:val="0"/>
                          <w:marBottom w:val="0"/>
                          <w:divBdr>
                            <w:top w:val="none" w:sz="0" w:space="0" w:color="auto"/>
                            <w:left w:val="none" w:sz="0" w:space="0" w:color="auto"/>
                            <w:bottom w:val="none" w:sz="0" w:space="0" w:color="auto"/>
                            <w:right w:val="none" w:sz="0" w:space="0" w:color="auto"/>
                          </w:divBdr>
                          <w:divsChild>
                            <w:div w:id="948052489">
                              <w:marLeft w:val="0"/>
                              <w:marRight w:val="0"/>
                              <w:marTop w:val="0"/>
                              <w:marBottom w:val="0"/>
                              <w:divBdr>
                                <w:top w:val="none" w:sz="0" w:space="0" w:color="auto"/>
                                <w:left w:val="none" w:sz="0" w:space="0" w:color="auto"/>
                                <w:bottom w:val="none" w:sz="0" w:space="0" w:color="auto"/>
                                <w:right w:val="none" w:sz="0" w:space="0" w:color="auto"/>
                              </w:divBdr>
                              <w:divsChild>
                                <w:div w:id="692806581">
                                  <w:marLeft w:val="0"/>
                                  <w:marRight w:val="0"/>
                                  <w:marTop w:val="0"/>
                                  <w:marBottom w:val="0"/>
                                  <w:divBdr>
                                    <w:top w:val="none" w:sz="0" w:space="0" w:color="auto"/>
                                    <w:left w:val="none" w:sz="0" w:space="0" w:color="auto"/>
                                    <w:bottom w:val="none" w:sz="0" w:space="0" w:color="auto"/>
                                    <w:right w:val="none" w:sz="0" w:space="0" w:color="auto"/>
                                  </w:divBdr>
                                  <w:divsChild>
                                    <w:div w:id="885682545">
                                      <w:marLeft w:val="0"/>
                                      <w:marRight w:val="0"/>
                                      <w:marTop w:val="0"/>
                                      <w:marBottom w:val="0"/>
                                      <w:divBdr>
                                        <w:top w:val="none" w:sz="0" w:space="0" w:color="auto"/>
                                        <w:left w:val="none" w:sz="0" w:space="0" w:color="auto"/>
                                        <w:bottom w:val="none" w:sz="0" w:space="0" w:color="auto"/>
                                        <w:right w:val="none" w:sz="0" w:space="0" w:color="auto"/>
                                      </w:divBdr>
                                    </w:div>
                                  </w:divsChild>
                                </w:div>
                                <w:div w:id="2081632614">
                                  <w:marLeft w:val="0"/>
                                  <w:marRight w:val="0"/>
                                  <w:marTop w:val="0"/>
                                  <w:marBottom w:val="0"/>
                                  <w:divBdr>
                                    <w:top w:val="none" w:sz="0" w:space="0" w:color="auto"/>
                                    <w:left w:val="none" w:sz="0" w:space="0" w:color="auto"/>
                                    <w:bottom w:val="none" w:sz="0" w:space="0" w:color="auto"/>
                                    <w:right w:val="none" w:sz="0" w:space="0" w:color="auto"/>
                                  </w:divBdr>
                                  <w:divsChild>
                                    <w:div w:id="6749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0849">
                          <w:marLeft w:val="0"/>
                          <w:marRight w:val="0"/>
                          <w:marTop w:val="0"/>
                          <w:marBottom w:val="0"/>
                          <w:divBdr>
                            <w:top w:val="none" w:sz="0" w:space="0" w:color="auto"/>
                            <w:left w:val="none" w:sz="0" w:space="0" w:color="auto"/>
                            <w:bottom w:val="none" w:sz="0" w:space="0" w:color="auto"/>
                            <w:right w:val="none" w:sz="0" w:space="0" w:color="auto"/>
                          </w:divBdr>
                        </w:div>
                        <w:div w:id="19845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9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planningportal.gov.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http://www.rics.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gif"/><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legislation.gov.uk/ukdsi/2010/9780111492390/images/ukdsi_9780111492390_en_002" TargetMode="External"/><Relationship Id="rId27" Type="http://schemas.openxmlformats.org/officeDocument/2006/relationships/hyperlink" Target="https://www.legislation.gov.uk/ukdsi/2010/9780111492390/regulation/57"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7482ae-7241-49c3-8a4f-7ce08acf9f0e">
      <Terms xmlns="http://schemas.microsoft.com/office/infopath/2007/PartnerControls"/>
    </lcf76f155ced4ddcb4097134ff3c332f>
    <TaxCatchAll xmlns="3786fa0e-627d-4c8f-81d4-9acfec184f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275f8b0736f9a3dd37a6dfa317b938d9">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6d671af6009ee3d1f180609449fc9527"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13561-089B-438B-B5FA-5F38E5B01BD2}">
  <ds:schemaRefs>
    <ds:schemaRef ds:uri="http://schemas.openxmlformats.org/package/2006/metadata/core-properties"/>
    <ds:schemaRef ds:uri="http://schemas.microsoft.com/office/2006/documentManagement/types"/>
    <ds:schemaRef ds:uri="d3fde93b-5559-46ec-98e9-8b34aaeaf261"/>
    <ds:schemaRef ds:uri="http://purl.org/dc/elements/1.1/"/>
    <ds:schemaRef ds:uri="http://schemas.microsoft.com/office/2006/metadata/properties"/>
    <ds:schemaRef ds:uri="http://schemas.microsoft.com/office/infopath/2007/PartnerControls"/>
    <ds:schemaRef ds:uri="http://purl.org/dc/terms/"/>
    <ds:schemaRef ds:uri="4b839c34-178a-47fe-b2c3-b9e61b67acfd"/>
    <ds:schemaRef ds:uri="http://www.w3.org/XML/1998/namespace"/>
    <ds:schemaRef ds:uri="http://purl.org/dc/dcmitype/"/>
  </ds:schemaRefs>
</ds:datastoreItem>
</file>

<file path=customXml/itemProps2.xml><?xml version="1.0" encoding="utf-8"?>
<ds:datastoreItem xmlns:ds="http://schemas.openxmlformats.org/officeDocument/2006/customXml" ds:itemID="{8021B273-98B0-419E-ACED-3365B435853A}">
  <ds:schemaRefs>
    <ds:schemaRef ds:uri="http://schemas.microsoft.com/sharepoint/v3/contenttype/forms"/>
  </ds:schemaRefs>
</ds:datastoreItem>
</file>

<file path=customXml/itemProps3.xml><?xml version="1.0" encoding="utf-8"?>
<ds:datastoreItem xmlns:ds="http://schemas.openxmlformats.org/officeDocument/2006/customXml" ds:itemID="{F7A8DF57-F421-4E31-B67D-C6544F3222FB}"/>
</file>

<file path=customXml/itemProps4.xml><?xml version="1.0" encoding="utf-8"?>
<ds:datastoreItem xmlns:ds="http://schemas.openxmlformats.org/officeDocument/2006/customXml" ds:itemID="{87B20B92-4390-49E6-9218-1F3336B8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6046</Words>
  <Characters>33014</Characters>
  <Application>Microsoft Office Word</Application>
  <DocSecurity>0</DocSecurity>
  <Lines>1031</Lines>
  <Paragraphs>619</Paragraphs>
  <ScaleCrop>false</ScaleCrop>
  <HeadingPairs>
    <vt:vector size="2" baseType="variant">
      <vt:variant>
        <vt:lpstr>Title</vt:lpstr>
      </vt:variant>
      <vt:variant>
        <vt:i4>1</vt:i4>
      </vt:variant>
    </vt:vector>
  </HeadingPairs>
  <TitlesOfParts>
    <vt:vector size="1" baseType="lpstr">
      <vt:lpstr>i)</vt:lpstr>
    </vt:vector>
  </TitlesOfParts>
  <Company>Oxford City Council</Company>
  <LinksUpToDate>false</LinksUpToDate>
  <CharactersWithSpaces>38441</CharactersWithSpaces>
  <SharedDoc>false</SharedDoc>
  <HLinks>
    <vt:vector size="18" baseType="variant">
      <vt:variant>
        <vt:i4>393300</vt:i4>
      </vt:variant>
      <vt:variant>
        <vt:i4>6</vt:i4>
      </vt:variant>
      <vt:variant>
        <vt:i4>0</vt:i4>
      </vt:variant>
      <vt:variant>
        <vt:i4>5</vt:i4>
      </vt:variant>
      <vt:variant>
        <vt:lpwstr>https://www.legislation.gov.uk/ukdsi/2010/9780111492390/regulation/57</vt:lpwstr>
      </vt:variant>
      <vt:variant>
        <vt:lpwstr/>
      </vt:variant>
      <vt:variant>
        <vt:i4>4784194</vt:i4>
      </vt:variant>
      <vt:variant>
        <vt:i4>3</vt:i4>
      </vt:variant>
      <vt:variant>
        <vt:i4>0</vt:i4>
      </vt:variant>
      <vt:variant>
        <vt:i4>5</vt:i4>
      </vt:variant>
      <vt:variant>
        <vt:lpwstr>http://www.rics.org/</vt:lpwstr>
      </vt:variant>
      <vt:variant>
        <vt:lpwstr/>
      </vt:variant>
      <vt:variant>
        <vt:i4>6094927</vt:i4>
      </vt:variant>
      <vt:variant>
        <vt:i4>0</vt:i4>
      </vt:variant>
      <vt:variant>
        <vt:i4>0</vt:i4>
      </vt:variant>
      <vt:variant>
        <vt:i4>5</vt:i4>
      </vt:variant>
      <vt:variant>
        <vt:lpwstr>http://www.planningportal.gov.uk/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x</dc:creator>
  <cp:keywords/>
  <cp:lastModifiedBy>FREEMAN Lorraine</cp:lastModifiedBy>
  <cp:revision>2</cp:revision>
  <cp:lastPrinted>2018-10-31T12:01:00Z</cp:lastPrinted>
  <dcterms:created xsi:type="dcterms:W3CDTF">2025-05-16T11:45:00Z</dcterms:created>
  <dcterms:modified xsi:type="dcterms:W3CDTF">2025-05-16T11:45:00Z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0x010100B5288C9F99542148A16292699E9EF8DD</vt:lpwstr>
  </property>
  <property fmtid="{D5CDD505-2E9C-101B-9397-08002B2CF9AE}" pid="4" name="Order">
    <vt:r8>100</vt:r8>
  </property>
</Properties>
</file>